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025" w:rsidRDefault="00A34625" w:rsidP="00A34625">
      <w:pPr>
        <w:jc w:val="center"/>
        <w:rPr>
          <w:b/>
          <w:sz w:val="24"/>
          <w:szCs w:val="24"/>
        </w:rPr>
      </w:pPr>
      <w:r w:rsidRPr="00A34625">
        <w:rPr>
          <w:b/>
          <w:sz w:val="24"/>
          <w:szCs w:val="24"/>
        </w:rPr>
        <w:t>Notes from Tyne Catchment Partnership Meeting</w:t>
      </w:r>
    </w:p>
    <w:p w:rsidR="00AF2B72" w:rsidRDefault="00AF2B72" w:rsidP="00AF2B72">
      <w:pPr>
        <w:jc w:val="center"/>
        <w:rPr>
          <w:b/>
          <w:sz w:val="24"/>
          <w:szCs w:val="24"/>
        </w:rPr>
      </w:pPr>
      <w:r>
        <w:rPr>
          <w:b/>
          <w:sz w:val="24"/>
          <w:szCs w:val="24"/>
        </w:rPr>
        <w:t>Wed, 16</w:t>
      </w:r>
      <w:r w:rsidRPr="00AF2B72">
        <w:rPr>
          <w:b/>
          <w:sz w:val="24"/>
          <w:szCs w:val="24"/>
          <w:vertAlign w:val="superscript"/>
        </w:rPr>
        <w:t>th</w:t>
      </w:r>
      <w:r>
        <w:rPr>
          <w:b/>
          <w:sz w:val="24"/>
          <w:szCs w:val="24"/>
        </w:rPr>
        <w:t xml:space="preserve"> September 2015</w:t>
      </w:r>
    </w:p>
    <w:p w:rsidR="00AF2B72" w:rsidRDefault="00AF2B72" w:rsidP="00AF2B72">
      <w:pPr>
        <w:jc w:val="center"/>
        <w:rPr>
          <w:b/>
          <w:sz w:val="24"/>
          <w:szCs w:val="24"/>
        </w:rPr>
      </w:pPr>
      <w:r>
        <w:rPr>
          <w:b/>
          <w:sz w:val="24"/>
          <w:szCs w:val="24"/>
        </w:rPr>
        <w:t>Blaydon Library</w:t>
      </w:r>
    </w:p>
    <w:p w:rsidR="00AF2B72" w:rsidRDefault="00AF2B72" w:rsidP="00AF2B72">
      <w:pPr>
        <w:jc w:val="center"/>
        <w:rPr>
          <w:b/>
          <w:sz w:val="24"/>
          <w:szCs w:val="24"/>
        </w:rPr>
      </w:pPr>
    </w:p>
    <w:p w:rsidR="00AF2B72" w:rsidRDefault="00AF2B72" w:rsidP="00AF2B72">
      <w:pPr>
        <w:rPr>
          <w:b/>
          <w:sz w:val="24"/>
          <w:szCs w:val="24"/>
        </w:rPr>
      </w:pPr>
      <w:r>
        <w:rPr>
          <w:b/>
          <w:sz w:val="24"/>
          <w:szCs w:val="24"/>
        </w:rPr>
        <w:t>Present</w:t>
      </w:r>
    </w:p>
    <w:p w:rsidR="00AF2B72" w:rsidRDefault="00AF2B72" w:rsidP="00AF2B72">
      <w:pPr>
        <w:rPr>
          <w:sz w:val="24"/>
          <w:szCs w:val="24"/>
        </w:rPr>
      </w:pPr>
      <w:r>
        <w:rPr>
          <w:sz w:val="24"/>
          <w:szCs w:val="24"/>
        </w:rPr>
        <w:t>Hugh Clear Hill (Northumberland County Council), Iona (job shadow), Graeme Hull (Environment Agency), Don Atkinson (Gateshead Council), Adelle Rowe (Natural England), Hele</w:t>
      </w:r>
      <w:r w:rsidR="00E303FA">
        <w:rPr>
          <w:sz w:val="24"/>
          <w:szCs w:val="24"/>
        </w:rPr>
        <w:t>n Allister, Pam Lovell</w:t>
      </w:r>
      <w:r>
        <w:rPr>
          <w:sz w:val="24"/>
          <w:szCs w:val="24"/>
        </w:rPr>
        <w:t xml:space="preserve"> and Tony Baines (Northumbrian Water Group), Sarah Tooze (North Pennines AONB Partnership), Emma Craig (Northumberland Wildlife Trust), Lucy Mo (Environment Agency), John Robinson (Newcastle City Council), Michelle Hogg (South Tyneside Council)</w:t>
      </w:r>
    </w:p>
    <w:p w:rsidR="00AF2B72" w:rsidRDefault="00AF2B72" w:rsidP="00AF2B72">
      <w:pPr>
        <w:rPr>
          <w:sz w:val="24"/>
          <w:szCs w:val="24"/>
        </w:rPr>
      </w:pPr>
    </w:p>
    <w:p w:rsidR="00AF2B72" w:rsidRDefault="00AF2B72" w:rsidP="00AF2B72">
      <w:pPr>
        <w:rPr>
          <w:b/>
          <w:sz w:val="24"/>
          <w:szCs w:val="24"/>
        </w:rPr>
      </w:pPr>
      <w:r>
        <w:rPr>
          <w:b/>
          <w:sz w:val="24"/>
          <w:szCs w:val="24"/>
        </w:rPr>
        <w:t>Apologies</w:t>
      </w:r>
    </w:p>
    <w:p w:rsidR="00AF2B72" w:rsidRDefault="00AF2B72" w:rsidP="00AF2B72">
      <w:pPr>
        <w:rPr>
          <w:sz w:val="24"/>
          <w:szCs w:val="24"/>
        </w:rPr>
      </w:pPr>
      <w:r>
        <w:rPr>
          <w:sz w:val="24"/>
          <w:szCs w:val="24"/>
        </w:rPr>
        <w:t>Clare Deasy (Northumbrian Water Group), Monique Speksnyder (Natural England), Angus Collingwood-Cameron (Northern Farmers &amp; landowners group), Paul Stevens (ERIC North-East), Peter Bell and Clare Ross (Gateshead Council), Jim Cokhill (Durham Wildlife Trust), Tony Hanson (South Tyneside Council), Susan Mackirdy (Tyne Rivers Trust)</w:t>
      </w:r>
    </w:p>
    <w:p w:rsidR="00AF2B72" w:rsidRDefault="00AF2B72" w:rsidP="00AF2B72">
      <w:pPr>
        <w:rPr>
          <w:sz w:val="24"/>
          <w:szCs w:val="24"/>
        </w:rPr>
      </w:pPr>
    </w:p>
    <w:p w:rsidR="00AF2B72" w:rsidRDefault="00AF2B72" w:rsidP="00AF2B72">
      <w:pPr>
        <w:rPr>
          <w:b/>
          <w:sz w:val="24"/>
          <w:szCs w:val="24"/>
        </w:rPr>
      </w:pPr>
      <w:r>
        <w:rPr>
          <w:b/>
          <w:sz w:val="24"/>
          <w:szCs w:val="24"/>
        </w:rPr>
        <w:t>1 Welcome and introductions</w:t>
      </w:r>
    </w:p>
    <w:p w:rsidR="00AF2B72" w:rsidRDefault="00AF2B72" w:rsidP="00AF2B72">
      <w:pPr>
        <w:rPr>
          <w:b/>
          <w:sz w:val="24"/>
          <w:szCs w:val="24"/>
        </w:rPr>
      </w:pPr>
      <w:r>
        <w:rPr>
          <w:b/>
          <w:sz w:val="24"/>
          <w:szCs w:val="24"/>
        </w:rPr>
        <w:t>2 Presentation – new countryside stewardship</w:t>
      </w:r>
    </w:p>
    <w:p w:rsidR="000D6F43" w:rsidRDefault="00AF2B72" w:rsidP="00AF2B72">
      <w:pPr>
        <w:rPr>
          <w:sz w:val="24"/>
          <w:szCs w:val="24"/>
        </w:rPr>
      </w:pPr>
      <w:r>
        <w:rPr>
          <w:sz w:val="24"/>
          <w:szCs w:val="24"/>
        </w:rPr>
        <w:t xml:space="preserve">Adelle Rowe </w:t>
      </w:r>
      <w:r w:rsidR="000D6F43">
        <w:rPr>
          <w:sz w:val="24"/>
          <w:szCs w:val="24"/>
        </w:rPr>
        <w:t xml:space="preserve">gave a presentation on the new countryside stewardship scheme.  </w:t>
      </w:r>
    </w:p>
    <w:p w:rsidR="000D6F43" w:rsidRDefault="000D6F43" w:rsidP="000D6F43">
      <w:pPr>
        <w:pStyle w:val="ListParagraph"/>
        <w:numPr>
          <w:ilvl w:val="0"/>
          <w:numId w:val="1"/>
        </w:numPr>
        <w:rPr>
          <w:sz w:val="24"/>
          <w:szCs w:val="24"/>
        </w:rPr>
      </w:pPr>
      <w:r w:rsidRPr="000D6F43">
        <w:rPr>
          <w:sz w:val="24"/>
          <w:szCs w:val="24"/>
        </w:rPr>
        <w:t>In some ways ‘</w:t>
      </w:r>
      <w:proofErr w:type="spellStart"/>
      <w:r w:rsidRPr="000D6F43">
        <w:rPr>
          <w:sz w:val="24"/>
          <w:szCs w:val="24"/>
        </w:rPr>
        <w:t>mid tier</w:t>
      </w:r>
      <w:proofErr w:type="spellEnd"/>
      <w:r w:rsidRPr="000D6F43">
        <w:rPr>
          <w:sz w:val="24"/>
          <w:szCs w:val="24"/>
        </w:rPr>
        <w:t xml:space="preserve">’ can be compared to the former ‘entry level’; and ‘higher tier’ to ‘higher level’.  Old schemes that are expiring as well as a few invited land-holdings have put in ‘Expressions of Interest’ (EOI) for the new scheme.  Some unsolicited EOIs have also been received.  </w:t>
      </w:r>
      <w:r>
        <w:rPr>
          <w:sz w:val="24"/>
          <w:szCs w:val="24"/>
        </w:rPr>
        <w:t xml:space="preserve">There will be an annual window for new applications, and Natural England are developing a ‘pipeline’ of sites that offer most benefit for spend.  </w:t>
      </w:r>
    </w:p>
    <w:p w:rsidR="00AF2B72" w:rsidRDefault="000D6F43" w:rsidP="000D6F43">
      <w:pPr>
        <w:pStyle w:val="ListParagraph"/>
        <w:numPr>
          <w:ilvl w:val="0"/>
          <w:numId w:val="1"/>
        </w:numPr>
        <w:rPr>
          <w:sz w:val="24"/>
          <w:szCs w:val="24"/>
        </w:rPr>
      </w:pPr>
      <w:r w:rsidRPr="000D6F43">
        <w:rPr>
          <w:sz w:val="24"/>
          <w:szCs w:val="24"/>
        </w:rPr>
        <w:t xml:space="preserve">These have been scored on a national level, with weighted scores.  Scored elements include biodiversity, SSSIs, water quality and habitats.  Generally </w:t>
      </w:r>
      <w:r>
        <w:rPr>
          <w:sz w:val="24"/>
          <w:szCs w:val="24"/>
        </w:rPr>
        <w:t xml:space="preserve">it is felt the scoring has worked well.  It is a competitive scheme.  </w:t>
      </w:r>
    </w:p>
    <w:p w:rsidR="000D6F43" w:rsidRDefault="000D6F43" w:rsidP="000D6F43">
      <w:pPr>
        <w:pStyle w:val="ListParagraph"/>
        <w:numPr>
          <w:ilvl w:val="0"/>
          <w:numId w:val="1"/>
        </w:numPr>
        <w:rPr>
          <w:sz w:val="24"/>
          <w:szCs w:val="24"/>
        </w:rPr>
      </w:pPr>
      <w:r>
        <w:rPr>
          <w:sz w:val="24"/>
          <w:szCs w:val="24"/>
        </w:rPr>
        <w:t xml:space="preserve">There are 51 EOIs in the whole north-east region.  Although the Tyne is not a priority catchment (for Catchment Sensitive Farming), focus areas from a flood risk management perspective include Acomb, Haydon Bridge and Team Valley.  </w:t>
      </w:r>
    </w:p>
    <w:p w:rsidR="000D6F43" w:rsidRDefault="000D6F43" w:rsidP="000D6F43">
      <w:pPr>
        <w:pStyle w:val="ListParagraph"/>
        <w:numPr>
          <w:ilvl w:val="0"/>
          <w:numId w:val="1"/>
        </w:numPr>
        <w:rPr>
          <w:sz w:val="24"/>
          <w:szCs w:val="24"/>
        </w:rPr>
      </w:pPr>
      <w:r>
        <w:rPr>
          <w:sz w:val="24"/>
          <w:szCs w:val="24"/>
        </w:rPr>
        <w:t>Take-up for ‘</w:t>
      </w:r>
      <w:proofErr w:type="spellStart"/>
      <w:r>
        <w:rPr>
          <w:sz w:val="24"/>
          <w:szCs w:val="24"/>
        </w:rPr>
        <w:t>Mid Tier</w:t>
      </w:r>
      <w:proofErr w:type="spellEnd"/>
      <w:r>
        <w:rPr>
          <w:sz w:val="24"/>
          <w:szCs w:val="24"/>
        </w:rPr>
        <w:t xml:space="preserve">’ has been low, despite direct contact with farmers and land managers.  Natural England </w:t>
      </w:r>
      <w:r w:rsidR="0083489F">
        <w:rPr>
          <w:sz w:val="24"/>
          <w:szCs w:val="24"/>
        </w:rPr>
        <w:t>doesn’t</w:t>
      </w:r>
      <w:r>
        <w:rPr>
          <w:sz w:val="24"/>
          <w:szCs w:val="24"/>
        </w:rPr>
        <w:t xml:space="preserve"> yet know why, although this region already has a high take-up of Higher Level Stewardship (under the old scheme) compared to other regions.  Catchment Sensitive Farming Officers are helping to process applications in the Till / Tweed area.  </w:t>
      </w:r>
    </w:p>
    <w:p w:rsidR="000D6F43" w:rsidRDefault="000D6F43" w:rsidP="000D6F43">
      <w:pPr>
        <w:pStyle w:val="ListParagraph"/>
        <w:numPr>
          <w:ilvl w:val="0"/>
          <w:numId w:val="1"/>
        </w:numPr>
        <w:rPr>
          <w:sz w:val="24"/>
          <w:szCs w:val="24"/>
        </w:rPr>
      </w:pPr>
      <w:r>
        <w:rPr>
          <w:sz w:val="24"/>
          <w:szCs w:val="24"/>
        </w:rPr>
        <w:lastRenderedPageBreak/>
        <w:t xml:space="preserve">This is an </w:t>
      </w:r>
      <w:r w:rsidR="0083489F">
        <w:rPr>
          <w:sz w:val="24"/>
          <w:szCs w:val="24"/>
        </w:rPr>
        <w:t>unusual</w:t>
      </w:r>
      <w:r>
        <w:rPr>
          <w:sz w:val="24"/>
          <w:szCs w:val="24"/>
        </w:rPr>
        <w:t xml:space="preserve"> year, Natural England are not looking to exclude applications, and are open to schemes being facilitated.</w:t>
      </w:r>
    </w:p>
    <w:p w:rsidR="000D6F43" w:rsidRDefault="000D6F43" w:rsidP="000D6F43">
      <w:pPr>
        <w:pStyle w:val="ListParagraph"/>
        <w:numPr>
          <w:ilvl w:val="0"/>
          <w:numId w:val="1"/>
        </w:numPr>
        <w:rPr>
          <w:sz w:val="24"/>
          <w:szCs w:val="24"/>
        </w:rPr>
      </w:pPr>
      <w:r>
        <w:rPr>
          <w:sz w:val="24"/>
          <w:szCs w:val="24"/>
        </w:rPr>
        <w:t xml:space="preserve">Under the old scheme there were freedoms to edit the prescriptions to introduce bespoke projects, but the new scheme is not as flexible.  This is because of EU rules used to monitor and make accountable.  </w:t>
      </w:r>
    </w:p>
    <w:p w:rsidR="000D6F43" w:rsidRDefault="000D6F43" w:rsidP="000D6F43">
      <w:pPr>
        <w:pStyle w:val="ListParagraph"/>
        <w:numPr>
          <w:ilvl w:val="0"/>
          <w:numId w:val="1"/>
        </w:numPr>
        <w:rPr>
          <w:sz w:val="24"/>
          <w:szCs w:val="24"/>
        </w:rPr>
      </w:pPr>
      <w:r>
        <w:rPr>
          <w:sz w:val="24"/>
          <w:szCs w:val="24"/>
        </w:rPr>
        <w:t xml:space="preserve">Farmers / </w:t>
      </w:r>
      <w:r w:rsidR="0083489F">
        <w:rPr>
          <w:sz w:val="24"/>
          <w:szCs w:val="24"/>
        </w:rPr>
        <w:t>land managers</w:t>
      </w:r>
      <w:r>
        <w:rPr>
          <w:sz w:val="24"/>
          <w:szCs w:val="24"/>
        </w:rPr>
        <w:t xml:space="preserve"> or even partnership (like the Tyne Catchment Partnership</w:t>
      </w:r>
      <w:r w:rsidR="0083489F">
        <w:rPr>
          <w:sz w:val="24"/>
          <w:szCs w:val="24"/>
        </w:rPr>
        <w:t>, thinking of the Ouseburn area</w:t>
      </w:r>
      <w:r>
        <w:rPr>
          <w:sz w:val="24"/>
          <w:szCs w:val="24"/>
        </w:rPr>
        <w:t xml:space="preserve">) are advised to make contact with Catchment Sensitive Farming Officers with ideas for sites for the pipeline – Natural England are receptive to ideas at any time, regardless of the ‘application window’.  An applicant has to have ‘management control’ of the land so a partnership would need to speak to the landowners and consider how existing land management would fit.  </w:t>
      </w:r>
    </w:p>
    <w:p w:rsidR="0083489F" w:rsidRDefault="0083489F" w:rsidP="000D6F43">
      <w:pPr>
        <w:pStyle w:val="ListParagraph"/>
        <w:numPr>
          <w:ilvl w:val="0"/>
          <w:numId w:val="1"/>
        </w:numPr>
        <w:rPr>
          <w:sz w:val="24"/>
          <w:szCs w:val="24"/>
        </w:rPr>
      </w:pPr>
      <w:r>
        <w:rPr>
          <w:sz w:val="24"/>
          <w:szCs w:val="24"/>
        </w:rPr>
        <w:t xml:space="preserve">Under the old system there was also a Conservation Enhancement Scheme (CES) that could be used on publically-owned land.  </w:t>
      </w:r>
    </w:p>
    <w:p w:rsidR="0083489F" w:rsidRDefault="0083489F" w:rsidP="0083489F">
      <w:pPr>
        <w:rPr>
          <w:b/>
          <w:sz w:val="24"/>
          <w:szCs w:val="24"/>
        </w:rPr>
      </w:pPr>
      <w:r>
        <w:rPr>
          <w:sz w:val="24"/>
          <w:szCs w:val="24"/>
        </w:rPr>
        <w:t>Questions for Adelle Rowe included when the status of the Tyne as not being a priority under Catchment Sensitive Farming might be reviewed.  She thought it was last reviewed in June 2014 but would confirm when it is next up for review.  It is partly based on Rural Diffuse Pollution</w:t>
      </w:r>
      <w:r w:rsidR="00CC560D">
        <w:rPr>
          <w:sz w:val="24"/>
          <w:szCs w:val="24"/>
        </w:rPr>
        <w:t>.</w:t>
      </w:r>
      <w:r>
        <w:rPr>
          <w:sz w:val="24"/>
          <w:szCs w:val="24"/>
        </w:rPr>
        <w:t xml:space="preserve">  </w:t>
      </w:r>
      <w:r>
        <w:rPr>
          <w:b/>
          <w:sz w:val="24"/>
          <w:szCs w:val="24"/>
        </w:rPr>
        <w:t>Action Adelle Rowe</w:t>
      </w:r>
    </w:p>
    <w:p w:rsidR="0083489F" w:rsidRDefault="0083489F" w:rsidP="0083489F">
      <w:pPr>
        <w:rPr>
          <w:b/>
          <w:sz w:val="24"/>
          <w:szCs w:val="24"/>
        </w:rPr>
      </w:pPr>
    </w:p>
    <w:p w:rsidR="0083489F" w:rsidRDefault="0083489F" w:rsidP="0083489F">
      <w:pPr>
        <w:rPr>
          <w:b/>
          <w:sz w:val="24"/>
          <w:szCs w:val="24"/>
        </w:rPr>
      </w:pPr>
      <w:r>
        <w:rPr>
          <w:b/>
          <w:sz w:val="24"/>
          <w:szCs w:val="24"/>
        </w:rPr>
        <w:t>3 Presentation – water rangers</w:t>
      </w:r>
      <w:r w:rsidR="00BB4A70">
        <w:rPr>
          <w:b/>
          <w:sz w:val="24"/>
          <w:szCs w:val="24"/>
        </w:rPr>
        <w:t xml:space="preserve"> (pilot)</w:t>
      </w:r>
    </w:p>
    <w:p w:rsidR="0083489F" w:rsidRDefault="0083489F" w:rsidP="0083489F">
      <w:pPr>
        <w:rPr>
          <w:sz w:val="24"/>
          <w:szCs w:val="24"/>
        </w:rPr>
      </w:pPr>
      <w:r>
        <w:rPr>
          <w:sz w:val="24"/>
          <w:szCs w:val="24"/>
        </w:rPr>
        <w:t xml:space="preserve">Helen and Pam gave a presentation on the Northumbrian Water Group’s water </w:t>
      </w:r>
      <w:proofErr w:type="gramStart"/>
      <w:r>
        <w:rPr>
          <w:sz w:val="24"/>
          <w:szCs w:val="24"/>
        </w:rPr>
        <w:t>rangers</w:t>
      </w:r>
      <w:proofErr w:type="gramEnd"/>
      <w:r>
        <w:rPr>
          <w:sz w:val="24"/>
          <w:szCs w:val="24"/>
        </w:rPr>
        <w:t xml:space="preserve"> scheme, an innovative community engagement scheme.  Vulnerable areas were first mapped using GIS (and 5 years of EA data).  8 water ranger areas were identified, the Team would have been one but it was difficult to define a walking route there.  On the Tyne the rangers are at Corbridge / </w:t>
      </w:r>
      <w:proofErr w:type="spellStart"/>
      <w:r>
        <w:rPr>
          <w:sz w:val="24"/>
          <w:szCs w:val="24"/>
        </w:rPr>
        <w:t>Stocksfield</w:t>
      </w:r>
      <w:proofErr w:type="spellEnd"/>
      <w:r>
        <w:rPr>
          <w:sz w:val="24"/>
          <w:szCs w:val="24"/>
        </w:rPr>
        <w:t>.  There are currently just over 40 volunteers.  Water rangers are incentivised by receiving approximately £4 for each route walked, plus an end of year celebration</w:t>
      </w:r>
      <w:r w:rsidR="00BB4A70">
        <w:rPr>
          <w:sz w:val="24"/>
          <w:szCs w:val="24"/>
        </w:rPr>
        <w:t xml:space="preserve"> (the incentives may only be part of this pilot scheme)</w:t>
      </w:r>
      <w:r>
        <w:rPr>
          <w:sz w:val="24"/>
          <w:szCs w:val="24"/>
        </w:rPr>
        <w:t xml:space="preserve">.  The scheme went live in November 2014.  There has been a lot of positive feedback from the water rangers, measured in a ‘Net Promoter Score’ of customer satisfaction.  Rangers are enjoying their role; enjoy doing something for the environment; feel that action is taking place and that the training was very good.  They would also like more routes, longer routes and more responsibility as well as a variety of ways of reporting their information.  </w:t>
      </w:r>
      <w:r w:rsidR="00BB4A70">
        <w:rPr>
          <w:sz w:val="24"/>
          <w:szCs w:val="24"/>
        </w:rPr>
        <w:t>Now there is better reporting of ‘urban diffuse pollution’ in sites where it was otherwise ‘tolerated’</w:t>
      </w:r>
      <w:r w:rsidR="00CC560D">
        <w:rPr>
          <w:sz w:val="24"/>
          <w:szCs w:val="24"/>
        </w:rPr>
        <w:t xml:space="preserve"> </w:t>
      </w:r>
      <w:r w:rsidR="00BB4A70">
        <w:rPr>
          <w:sz w:val="24"/>
          <w:szCs w:val="24"/>
        </w:rPr>
        <w:t xml:space="preserve">and not reported.  </w:t>
      </w:r>
    </w:p>
    <w:p w:rsidR="0083489F" w:rsidRDefault="0083489F" w:rsidP="0083489F">
      <w:pPr>
        <w:rPr>
          <w:sz w:val="24"/>
          <w:szCs w:val="24"/>
        </w:rPr>
      </w:pPr>
      <w:r>
        <w:rPr>
          <w:sz w:val="24"/>
          <w:szCs w:val="24"/>
        </w:rPr>
        <w:t>The project has reached a mid-term review stage and Northumbrian Water Group are seeking Tyne Catchment Partnership’s thoughts</w:t>
      </w:r>
      <w:r w:rsidR="00CC560D">
        <w:rPr>
          <w:sz w:val="24"/>
          <w:szCs w:val="24"/>
        </w:rPr>
        <w:t xml:space="preserve"> </w:t>
      </w:r>
      <w:r>
        <w:rPr>
          <w:sz w:val="24"/>
          <w:szCs w:val="24"/>
        </w:rPr>
        <w:t xml:space="preserve">and ideas for working collaboratively.  Is there a possibility of linking to other voluntary groups?  </w:t>
      </w:r>
      <w:r w:rsidR="00BB4A70">
        <w:rPr>
          <w:sz w:val="24"/>
          <w:szCs w:val="24"/>
        </w:rPr>
        <w:t>Can the volunteers be moved to other areas that are joint priorities?  Can the Water Ranger training (what to look for, what to do, who to contact) be offered as part of other partners’ volunteer training programmes?</w:t>
      </w:r>
    </w:p>
    <w:p w:rsidR="00BB4A70" w:rsidRDefault="00BB4A70" w:rsidP="0083489F">
      <w:pPr>
        <w:rPr>
          <w:sz w:val="24"/>
          <w:szCs w:val="24"/>
        </w:rPr>
      </w:pPr>
      <w:r>
        <w:rPr>
          <w:sz w:val="24"/>
          <w:szCs w:val="24"/>
        </w:rPr>
        <w:t xml:space="preserve">Hugh Clear-Hill mentioned the link to River Watch groups – who undertake fly sampling.  There are also links to volunteers managed by the Wildlife Trusts.  Emma added that there would also be </w:t>
      </w:r>
      <w:r w:rsidR="00CC560D">
        <w:rPr>
          <w:sz w:val="24"/>
          <w:szCs w:val="24"/>
        </w:rPr>
        <w:t>numerous</w:t>
      </w:r>
      <w:r>
        <w:rPr>
          <w:sz w:val="24"/>
          <w:szCs w:val="24"/>
        </w:rPr>
        <w:t xml:space="preserve"> ‘Friends Of’ groups.  Graeme noted links to the Living Waterways projects, which are Wildlife Trust led, with EA Grant in Aid.  Tony suggested an ‘adopt a burn’ partnership approach.  There would also be support from local authorities and local councillors who would all know of local people in a specific area that care about their environment.  </w:t>
      </w:r>
    </w:p>
    <w:p w:rsidR="00BB4A70" w:rsidRDefault="00BB4A70" w:rsidP="0083489F">
      <w:pPr>
        <w:rPr>
          <w:b/>
          <w:sz w:val="24"/>
          <w:szCs w:val="24"/>
        </w:rPr>
      </w:pPr>
      <w:r>
        <w:rPr>
          <w:sz w:val="24"/>
          <w:szCs w:val="24"/>
        </w:rPr>
        <w:lastRenderedPageBreak/>
        <w:t xml:space="preserve">Abi offered to collate a list of the partners and organisations linked to the Tyne Catchment Partnership that currently have volunteers-type groups, and pass this on to Helen and Pam. </w:t>
      </w:r>
      <w:r>
        <w:rPr>
          <w:b/>
          <w:sz w:val="24"/>
          <w:szCs w:val="24"/>
        </w:rPr>
        <w:t>Action Abi</w:t>
      </w:r>
    </w:p>
    <w:p w:rsidR="00BB4A70" w:rsidRDefault="00BB4A70" w:rsidP="0083489F">
      <w:pPr>
        <w:rPr>
          <w:b/>
          <w:sz w:val="24"/>
          <w:szCs w:val="24"/>
        </w:rPr>
      </w:pPr>
    </w:p>
    <w:p w:rsidR="00BB4A70" w:rsidRDefault="00BB4A70" w:rsidP="0083489F">
      <w:pPr>
        <w:rPr>
          <w:b/>
          <w:sz w:val="24"/>
          <w:szCs w:val="24"/>
        </w:rPr>
      </w:pPr>
      <w:r>
        <w:rPr>
          <w:b/>
          <w:sz w:val="24"/>
          <w:szCs w:val="24"/>
        </w:rPr>
        <w:t>4 Northumbrian Water Group – funding offer</w:t>
      </w:r>
    </w:p>
    <w:p w:rsidR="00BB4A70" w:rsidRDefault="00BB4A70" w:rsidP="0083489F">
      <w:pPr>
        <w:rPr>
          <w:sz w:val="24"/>
          <w:szCs w:val="24"/>
        </w:rPr>
      </w:pPr>
      <w:r>
        <w:rPr>
          <w:sz w:val="24"/>
          <w:szCs w:val="24"/>
        </w:rPr>
        <w:t xml:space="preserve">Last year, NWG </w:t>
      </w:r>
      <w:r w:rsidR="00290D37">
        <w:rPr>
          <w:sz w:val="24"/>
          <w:szCs w:val="24"/>
        </w:rPr>
        <w:t>part-</w:t>
      </w:r>
      <w:r>
        <w:rPr>
          <w:sz w:val="24"/>
          <w:szCs w:val="24"/>
        </w:rPr>
        <w:t xml:space="preserve">funded </w:t>
      </w:r>
      <w:r w:rsidR="00290D37">
        <w:rPr>
          <w:sz w:val="24"/>
          <w:szCs w:val="24"/>
        </w:rPr>
        <w:t xml:space="preserve">the </w:t>
      </w:r>
      <w:r>
        <w:rPr>
          <w:sz w:val="24"/>
          <w:szCs w:val="24"/>
        </w:rPr>
        <w:t xml:space="preserve">Ouseburn </w:t>
      </w:r>
      <w:r w:rsidR="00290D37">
        <w:rPr>
          <w:sz w:val="24"/>
          <w:szCs w:val="24"/>
        </w:rPr>
        <w:t xml:space="preserve">Evidence &amp; Measures </w:t>
      </w:r>
      <w:r>
        <w:rPr>
          <w:sz w:val="24"/>
          <w:szCs w:val="24"/>
        </w:rPr>
        <w:t>project</w:t>
      </w:r>
      <w:r w:rsidR="00290D37">
        <w:rPr>
          <w:sz w:val="24"/>
          <w:szCs w:val="24"/>
        </w:rPr>
        <w:t xml:space="preserve"> by giving £9k towards the project costs (and also provided significant amounts of in-kind time through responding to data requests and staff attending the two workshops)</w:t>
      </w:r>
      <w:r>
        <w:rPr>
          <w:sz w:val="24"/>
          <w:szCs w:val="24"/>
        </w:rPr>
        <w:t xml:space="preserve">.  The </w:t>
      </w:r>
      <w:r w:rsidR="00290D37">
        <w:rPr>
          <w:sz w:val="24"/>
          <w:szCs w:val="24"/>
        </w:rPr>
        <w:t xml:space="preserve">overall </w:t>
      </w:r>
      <w:r>
        <w:rPr>
          <w:sz w:val="24"/>
          <w:szCs w:val="24"/>
        </w:rPr>
        <w:t>fund was divided between the catchments in this region.  This year project ideas have been called for, and the fund may or may not be divided</w:t>
      </w:r>
      <w:r w:rsidR="00C810D2">
        <w:rPr>
          <w:sz w:val="24"/>
          <w:szCs w:val="24"/>
        </w:rPr>
        <w:t xml:space="preserve"> equally.  The deadline is the 1</w:t>
      </w:r>
      <w:r w:rsidR="00C810D2" w:rsidRPr="00C810D2">
        <w:rPr>
          <w:sz w:val="24"/>
          <w:szCs w:val="24"/>
          <w:vertAlign w:val="superscript"/>
        </w:rPr>
        <w:t>st</w:t>
      </w:r>
      <w:r w:rsidR="00C810D2">
        <w:rPr>
          <w:sz w:val="24"/>
          <w:szCs w:val="24"/>
        </w:rPr>
        <w:t xml:space="preserve"> </w:t>
      </w:r>
      <w:r>
        <w:rPr>
          <w:sz w:val="24"/>
          <w:szCs w:val="24"/>
        </w:rPr>
        <w:t xml:space="preserve">October.  </w:t>
      </w:r>
    </w:p>
    <w:p w:rsidR="00BB4A70" w:rsidRDefault="00290D37" w:rsidP="0083489F">
      <w:pPr>
        <w:rPr>
          <w:sz w:val="24"/>
          <w:szCs w:val="24"/>
        </w:rPr>
      </w:pPr>
      <w:r>
        <w:rPr>
          <w:sz w:val="24"/>
          <w:szCs w:val="24"/>
        </w:rPr>
        <w:t>Three</w:t>
      </w:r>
      <w:r w:rsidR="00BB4A70">
        <w:rPr>
          <w:sz w:val="24"/>
          <w:szCs w:val="24"/>
        </w:rPr>
        <w:t xml:space="preserve"> project proposals have been received over the summer and these were circulated. </w:t>
      </w:r>
      <w:r w:rsidR="006E3A84">
        <w:rPr>
          <w:sz w:val="24"/>
          <w:szCs w:val="24"/>
        </w:rPr>
        <w:t xml:space="preserve"> We also briefly discussed a ‘lead in peat’ project that the Tees and the Wear are working together on, although not much of the target peat falls into the Tyne catchment.  </w:t>
      </w:r>
    </w:p>
    <w:p w:rsidR="00BB4A70" w:rsidRDefault="00BB4A70" w:rsidP="0083489F">
      <w:pPr>
        <w:rPr>
          <w:sz w:val="24"/>
          <w:szCs w:val="24"/>
        </w:rPr>
      </w:pPr>
      <w:r>
        <w:rPr>
          <w:sz w:val="24"/>
          <w:szCs w:val="24"/>
        </w:rPr>
        <w:t xml:space="preserve">Graeme Hull noted that some of these were also proposed to the EA’s Grant in Aid but failed on the first assessment.  </w:t>
      </w:r>
      <w:r w:rsidR="006E3A84">
        <w:rPr>
          <w:sz w:val="24"/>
          <w:szCs w:val="24"/>
        </w:rPr>
        <w:t>Some details around each proposal were discussed</w:t>
      </w:r>
      <w:r w:rsidR="00632318">
        <w:rPr>
          <w:sz w:val="24"/>
          <w:szCs w:val="24"/>
        </w:rPr>
        <w:t xml:space="preserve"> (and Graeme circulated a handout</w:t>
      </w:r>
      <w:r w:rsidR="002C198F">
        <w:rPr>
          <w:sz w:val="24"/>
          <w:szCs w:val="24"/>
        </w:rPr>
        <w:t xml:space="preserve"> with some of that feedback – this part of the meeting notes have been put under the agenda item about the Medium Term Plan, later on</w:t>
      </w:r>
      <w:r w:rsidR="00632318">
        <w:rPr>
          <w:sz w:val="24"/>
          <w:szCs w:val="24"/>
        </w:rPr>
        <w:t>)</w:t>
      </w:r>
      <w:r w:rsidR="002C198F">
        <w:rPr>
          <w:sz w:val="24"/>
          <w:szCs w:val="24"/>
        </w:rPr>
        <w:t>.  Note, the misconnections</w:t>
      </w:r>
      <w:r w:rsidR="002C198F">
        <w:rPr>
          <w:sz w:val="24"/>
          <w:szCs w:val="24"/>
        </w:rPr>
        <w:t xml:space="preserve"> proposal seeks to work across the whole Don and not just the </w:t>
      </w:r>
      <w:proofErr w:type="spellStart"/>
      <w:r w:rsidR="002C198F">
        <w:rPr>
          <w:sz w:val="24"/>
          <w:szCs w:val="24"/>
        </w:rPr>
        <w:t>Fellgate</w:t>
      </w:r>
      <w:proofErr w:type="spellEnd"/>
      <w:r w:rsidR="002C198F">
        <w:rPr>
          <w:sz w:val="24"/>
          <w:szCs w:val="24"/>
        </w:rPr>
        <w:t xml:space="preserve"> area</w:t>
      </w:r>
      <w:r w:rsidR="002C198F">
        <w:rPr>
          <w:sz w:val="24"/>
          <w:szCs w:val="24"/>
        </w:rPr>
        <w:t>.</w:t>
      </w:r>
    </w:p>
    <w:p w:rsidR="006E3A84" w:rsidRDefault="006E3A84" w:rsidP="006E3A84">
      <w:pPr>
        <w:rPr>
          <w:sz w:val="24"/>
          <w:szCs w:val="24"/>
        </w:rPr>
      </w:pPr>
      <w:r>
        <w:rPr>
          <w:sz w:val="24"/>
          <w:szCs w:val="24"/>
        </w:rPr>
        <w:t xml:space="preserve">The partnership tried to consider which project would benefit water quality more?  Which one would benefit Northumbrian Water’s aims most?  Or which ones may have any opportunity for match funding?  Should we also consider any other projects that have not been </w:t>
      </w:r>
      <w:r w:rsidR="00CC560D">
        <w:rPr>
          <w:sz w:val="24"/>
          <w:szCs w:val="24"/>
        </w:rPr>
        <w:t>successful</w:t>
      </w:r>
      <w:r>
        <w:rPr>
          <w:sz w:val="24"/>
          <w:szCs w:val="24"/>
        </w:rPr>
        <w:t xml:space="preserve"> under the Medium Term Plan funding?  </w:t>
      </w:r>
    </w:p>
    <w:p w:rsidR="006E3A84" w:rsidRDefault="00290D37" w:rsidP="006E3A84">
      <w:pPr>
        <w:rPr>
          <w:sz w:val="24"/>
          <w:szCs w:val="24"/>
        </w:rPr>
      </w:pPr>
      <w:r>
        <w:rPr>
          <w:sz w:val="24"/>
          <w:szCs w:val="24"/>
        </w:rPr>
        <w:t xml:space="preserve">It was agreed to have an anonymous </w:t>
      </w:r>
      <w:r w:rsidR="006E3A84">
        <w:rPr>
          <w:sz w:val="24"/>
          <w:szCs w:val="24"/>
        </w:rPr>
        <w:t>vote, outside of the meeting.  The winning project would be the one that is put forward by the Tyne Catchment Partnership</w:t>
      </w:r>
      <w:r w:rsidR="003E6F85">
        <w:rPr>
          <w:sz w:val="24"/>
          <w:szCs w:val="24"/>
        </w:rPr>
        <w:t>, as the one with the most support</w:t>
      </w:r>
      <w:r w:rsidR="006E3A84">
        <w:rPr>
          <w:sz w:val="24"/>
          <w:szCs w:val="24"/>
        </w:rPr>
        <w:t xml:space="preserve">.  If there is a tie, we would put forward two projects.  </w:t>
      </w:r>
      <w:r w:rsidR="006E3A84">
        <w:rPr>
          <w:b/>
          <w:sz w:val="24"/>
          <w:szCs w:val="24"/>
        </w:rPr>
        <w:t>Action Abi</w:t>
      </w:r>
      <w:r w:rsidR="006E3A84">
        <w:rPr>
          <w:sz w:val="24"/>
          <w:szCs w:val="24"/>
        </w:rPr>
        <w:t xml:space="preserve"> organise an online vote and circulate the results.  </w:t>
      </w:r>
      <w:r w:rsidR="00D21143">
        <w:rPr>
          <w:b/>
          <w:sz w:val="24"/>
          <w:szCs w:val="24"/>
        </w:rPr>
        <w:t xml:space="preserve">Action Abi </w:t>
      </w:r>
      <w:r w:rsidR="00D21143">
        <w:rPr>
          <w:sz w:val="24"/>
          <w:szCs w:val="24"/>
        </w:rPr>
        <w:t>work with the partner(s) with the most votes to f</w:t>
      </w:r>
      <w:r w:rsidR="00100355">
        <w:rPr>
          <w:sz w:val="24"/>
          <w:szCs w:val="24"/>
        </w:rPr>
        <w:t>ill in the funding form by the 1</w:t>
      </w:r>
      <w:r w:rsidR="00100355" w:rsidRPr="00100355">
        <w:rPr>
          <w:sz w:val="24"/>
          <w:szCs w:val="24"/>
          <w:vertAlign w:val="superscript"/>
        </w:rPr>
        <w:t>st</w:t>
      </w:r>
      <w:r w:rsidR="00100355">
        <w:rPr>
          <w:sz w:val="24"/>
          <w:szCs w:val="24"/>
        </w:rPr>
        <w:t xml:space="preserve"> </w:t>
      </w:r>
      <w:r w:rsidR="00D21143">
        <w:rPr>
          <w:sz w:val="24"/>
          <w:szCs w:val="24"/>
        </w:rPr>
        <w:t xml:space="preserve">October. </w:t>
      </w:r>
    </w:p>
    <w:p w:rsidR="00627BFB" w:rsidRPr="00627BFB" w:rsidRDefault="00627BFB" w:rsidP="006E3A84">
      <w:pPr>
        <w:rPr>
          <w:i/>
          <w:sz w:val="24"/>
          <w:szCs w:val="24"/>
        </w:rPr>
      </w:pPr>
      <w:r>
        <w:rPr>
          <w:i/>
          <w:sz w:val="24"/>
          <w:szCs w:val="24"/>
        </w:rPr>
        <w:t>Post meeting note – the vote was held online, over ‘</w:t>
      </w:r>
      <w:proofErr w:type="spellStart"/>
      <w:r>
        <w:rPr>
          <w:i/>
          <w:sz w:val="24"/>
          <w:szCs w:val="24"/>
        </w:rPr>
        <w:t>surveymonkey</w:t>
      </w:r>
      <w:proofErr w:type="spellEnd"/>
      <w:r>
        <w:rPr>
          <w:i/>
          <w:sz w:val="24"/>
          <w:szCs w:val="24"/>
        </w:rPr>
        <w:t>’ and by 10am on 25</w:t>
      </w:r>
      <w:r w:rsidRPr="00627BFB">
        <w:rPr>
          <w:i/>
          <w:sz w:val="24"/>
          <w:szCs w:val="24"/>
          <w:vertAlign w:val="superscript"/>
        </w:rPr>
        <w:t>th</w:t>
      </w:r>
      <w:r>
        <w:rPr>
          <w:i/>
          <w:sz w:val="24"/>
          <w:szCs w:val="24"/>
        </w:rPr>
        <w:t xml:space="preserve"> Sept a total of 11 votes were cast.  There was a tie between the 2 projects with the highest number of votes.  In the meantime, Northumbrian Water Group agreed to consider all 3 project forms.</w:t>
      </w:r>
    </w:p>
    <w:p w:rsidR="00290D37" w:rsidRPr="00D21143" w:rsidRDefault="00290D37" w:rsidP="006E3A84">
      <w:pPr>
        <w:rPr>
          <w:sz w:val="24"/>
          <w:szCs w:val="24"/>
        </w:rPr>
      </w:pPr>
    </w:p>
    <w:p w:rsidR="00E303FA" w:rsidRDefault="00E303FA" w:rsidP="006E3A84">
      <w:pPr>
        <w:rPr>
          <w:b/>
          <w:sz w:val="24"/>
          <w:szCs w:val="24"/>
        </w:rPr>
      </w:pPr>
      <w:r>
        <w:rPr>
          <w:b/>
          <w:sz w:val="24"/>
          <w:szCs w:val="24"/>
        </w:rPr>
        <w:t>5 Towards</w:t>
      </w:r>
      <w:r w:rsidR="00CC560D">
        <w:rPr>
          <w:b/>
          <w:sz w:val="24"/>
          <w:szCs w:val="24"/>
        </w:rPr>
        <w:t xml:space="preserve"> </w:t>
      </w:r>
      <w:r>
        <w:rPr>
          <w:b/>
          <w:sz w:val="24"/>
          <w:szCs w:val="24"/>
        </w:rPr>
        <w:t>Sustainability – discussion</w:t>
      </w:r>
    </w:p>
    <w:p w:rsidR="00E303FA" w:rsidRDefault="00C1564A" w:rsidP="006E3A84">
      <w:pPr>
        <w:rPr>
          <w:sz w:val="24"/>
          <w:szCs w:val="24"/>
        </w:rPr>
      </w:pPr>
      <w:r>
        <w:rPr>
          <w:sz w:val="24"/>
          <w:szCs w:val="24"/>
        </w:rPr>
        <w:t xml:space="preserve">Catchment Partnerships were </w:t>
      </w:r>
      <w:r w:rsidR="00290D37">
        <w:rPr>
          <w:sz w:val="24"/>
          <w:szCs w:val="24"/>
        </w:rPr>
        <w:t>created</w:t>
      </w:r>
      <w:r>
        <w:rPr>
          <w:sz w:val="24"/>
          <w:szCs w:val="24"/>
        </w:rPr>
        <w:t xml:space="preserve"> because </w:t>
      </w:r>
      <w:r w:rsidR="00290D37">
        <w:rPr>
          <w:sz w:val="24"/>
          <w:szCs w:val="24"/>
        </w:rPr>
        <w:t>Defra realised</w:t>
      </w:r>
      <w:r>
        <w:rPr>
          <w:sz w:val="24"/>
          <w:szCs w:val="24"/>
        </w:rPr>
        <w:t xml:space="preserve"> that the River Basin level is too big to create </w:t>
      </w:r>
      <w:r w:rsidR="00290D37">
        <w:rPr>
          <w:sz w:val="24"/>
          <w:szCs w:val="24"/>
        </w:rPr>
        <w:t xml:space="preserve">meaningful </w:t>
      </w:r>
      <w:r>
        <w:rPr>
          <w:sz w:val="24"/>
          <w:szCs w:val="24"/>
        </w:rPr>
        <w:t>action</w:t>
      </w:r>
      <w:r w:rsidR="00290D37">
        <w:rPr>
          <w:sz w:val="24"/>
          <w:szCs w:val="24"/>
        </w:rPr>
        <w:t xml:space="preserve"> on the ground</w:t>
      </w:r>
      <w:r>
        <w:rPr>
          <w:sz w:val="24"/>
          <w:szCs w:val="24"/>
        </w:rPr>
        <w:t xml:space="preserve">.  At a local level we can gather momentum on action and make real differences.  </w:t>
      </w:r>
      <w:r w:rsidR="00E303FA">
        <w:rPr>
          <w:sz w:val="24"/>
          <w:szCs w:val="24"/>
        </w:rPr>
        <w:t>As part of the DEFRA funding for 2015/16, we need to seek to become self-sustaining as a catchment partnership.  The hosting grant is currently £15k,</w:t>
      </w:r>
      <w:r w:rsidR="00D3734C">
        <w:rPr>
          <w:sz w:val="24"/>
          <w:szCs w:val="24"/>
        </w:rPr>
        <w:t xml:space="preserve"> of which the majority is spent on the partnership co-ordinator role.  TRT as host has contributed a similar in-kind resource since the partnership was established</w:t>
      </w:r>
      <w:r w:rsidR="00E303FA">
        <w:rPr>
          <w:sz w:val="24"/>
          <w:szCs w:val="24"/>
        </w:rPr>
        <w:t xml:space="preserve">.  The future funding situation is very uncertain and unlikely, although Defra’s area-wide strategy is to have catchment partnerships. </w:t>
      </w:r>
      <w:r>
        <w:rPr>
          <w:sz w:val="24"/>
          <w:szCs w:val="24"/>
        </w:rPr>
        <w:t xml:space="preserve"> </w:t>
      </w:r>
    </w:p>
    <w:p w:rsidR="00C1564A" w:rsidRDefault="00C1564A" w:rsidP="00C1564A">
      <w:pPr>
        <w:rPr>
          <w:sz w:val="24"/>
          <w:szCs w:val="24"/>
        </w:rPr>
      </w:pPr>
      <w:r>
        <w:rPr>
          <w:sz w:val="24"/>
          <w:szCs w:val="24"/>
        </w:rPr>
        <w:lastRenderedPageBreak/>
        <w:t>Some thought has already gone in to defining the role of the host, the Environment Agency and the partners</w:t>
      </w:r>
      <w:r w:rsidR="00290D37">
        <w:rPr>
          <w:sz w:val="24"/>
          <w:szCs w:val="24"/>
        </w:rPr>
        <w:t xml:space="preserve"> (overleaf)</w:t>
      </w:r>
      <w:r>
        <w:rPr>
          <w:sz w:val="24"/>
          <w:szCs w:val="24"/>
        </w:rPr>
        <w:t xml:space="preserve">.  This was circulated and met with broad approval. </w:t>
      </w:r>
      <w:r w:rsidR="00516CA6">
        <w:rPr>
          <w:sz w:val="24"/>
          <w:szCs w:val="24"/>
        </w:rPr>
        <w:t xml:space="preserve"> Everybody agreed that the points from each partnership meeting are reported back within their own organisations at e.g. team meetings etc. </w:t>
      </w:r>
    </w:p>
    <w:p w:rsidR="00E303FA" w:rsidRDefault="00E303FA" w:rsidP="006E3A84">
      <w:pPr>
        <w:rPr>
          <w:sz w:val="24"/>
          <w:szCs w:val="24"/>
        </w:rPr>
      </w:pPr>
      <w:r>
        <w:rPr>
          <w:sz w:val="24"/>
          <w:szCs w:val="24"/>
        </w:rPr>
        <w:t xml:space="preserve">Starting the discussion about what partners feel is working well, there were lots of positive comments (see </w:t>
      </w:r>
      <w:r w:rsidR="00290D37">
        <w:rPr>
          <w:sz w:val="24"/>
          <w:szCs w:val="24"/>
        </w:rPr>
        <w:t>‘round table’ graphic</w:t>
      </w:r>
      <w:r>
        <w:rPr>
          <w:sz w:val="24"/>
          <w:szCs w:val="24"/>
        </w:rPr>
        <w:t xml:space="preserve">).  </w:t>
      </w:r>
    </w:p>
    <w:p w:rsidR="0019518D" w:rsidRDefault="0019518D" w:rsidP="006E3A84">
      <w:pPr>
        <w:rPr>
          <w:sz w:val="24"/>
          <w:szCs w:val="24"/>
        </w:rPr>
      </w:pPr>
    </w:p>
    <w:p w:rsidR="0019518D" w:rsidRDefault="00D3734C" w:rsidP="006E3A84">
      <w:pPr>
        <w:rPr>
          <w:sz w:val="24"/>
          <w:szCs w:val="24"/>
        </w:rPr>
      </w:pPr>
      <w:r w:rsidRPr="00D3734C">
        <w:rPr>
          <w:noProof/>
          <w:sz w:val="24"/>
          <w:szCs w:val="24"/>
          <w:lang w:eastAsia="en-GB"/>
        </w:rPr>
        <w:drawing>
          <wp:inline distT="0" distB="0" distL="0" distR="0">
            <wp:extent cx="6645910" cy="48769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876956"/>
                    </a:xfrm>
                    <a:prstGeom prst="rect">
                      <a:avLst/>
                    </a:prstGeom>
                    <a:noFill/>
                    <a:ln>
                      <a:noFill/>
                    </a:ln>
                  </pic:spPr>
                </pic:pic>
              </a:graphicData>
            </a:graphic>
          </wp:inline>
        </w:drawing>
      </w:r>
    </w:p>
    <w:p w:rsidR="00E303FA" w:rsidRDefault="00E303FA" w:rsidP="006E3A84">
      <w:pPr>
        <w:rPr>
          <w:sz w:val="24"/>
          <w:szCs w:val="24"/>
        </w:rPr>
      </w:pPr>
    </w:p>
    <w:p w:rsidR="00E303FA" w:rsidRDefault="00E303FA" w:rsidP="006E3A84">
      <w:pPr>
        <w:rPr>
          <w:sz w:val="24"/>
          <w:szCs w:val="24"/>
        </w:rPr>
        <w:sectPr w:rsidR="00E303FA" w:rsidSect="00E303FA">
          <w:footerReference w:type="default" r:id="rId9"/>
          <w:pgSz w:w="11906" w:h="16838"/>
          <w:pgMar w:top="720" w:right="720" w:bottom="720" w:left="720" w:header="708" w:footer="708" w:gutter="0"/>
          <w:cols w:space="708"/>
          <w:docGrid w:linePitch="360"/>
        </w:sectPr>
      </w:pPr>
    </w:p>
    <w:p w:rsidR="00E303FA" w:rsidRDefault="00E303FA" w:rsidP="00E303FA">
      <w:pPr>
        <w:jc w:val="center"/>
        <w:rPr>
          <w:sz w:val="24"/>
          <w:szCs w:val="24"/>
        </w:rPr>
        <w:sectPr w:rsidR="00E303FA" w:rsidSect="00E303FA">
          <w:pgSz w:w="16838" w:h="11906" w:orient="landscape"/>
          <w:pgMar w:top="720" w:right="720" w:bottom="720" w:left="720" w:header="708" w:footer="708" w:gutter="0"/>
          <w:cols w:space="708"/>
          <w:docGrid w:linePitch="360"/>
        </w:sectPr>
      </w:pPr>
      <w:r w:rsidRPr="00E303FA">
        <w:rPr>
          <w:noProof/>
          <w:sz w:val="24"/>
          <w:szCs w:val="24"/>
          <w:lang w:eastAsia="en-GB"/>
        </w:rPr>
        <w:lastRenderedPageBreak/>
        <w:drawing>
          <wp:inline distT="0" distB="0" distL="0" distR="0">
            <wp:extent cx="9531350" cy="6487886"/>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960" cy="6282698"/>
                      <a:chOff x="179512" y="188640"/>
                      <a:chExt cx="8640960" cy="6282698"/>
                    </a:xfrm>
                  </a:grpSpPr>
                  <a:grpSp>
                    <a:nvGrpSpPr>
                      <a:cNvPr id="23" name="Group 22"/>
                      <a:cNvGrpSpPr/>
                    </a:nvGrpSpPr>
                    <a:grpSpPr>
                      <a:xfrm>
                        <a:off x="179512" y="188640"/>
                        <a:ext cx="8640960" cy="6282698"/>
                        <a:chOff x="179512" y="188640"/>
                        <a:chExt cx="8640960" cy="6282698"/>
                      </a:xfrm>
                    </a:grpSpPr>
                    <a:pic>
                      <a:nvPicPr>
                        <a:cNvPr id="4" name="Picture 3" descr="meeting-clip-art.jpg"/>
                        <a:cNvPicPr>
                          <a:picLocks noChangeAspect="1"/>
                        </a:cNvPicPr>
                      </a:nvPicPr>
                      <a:blipFill>
                        <a:blip r:embed="rId10" cstate="print"/>
                        <a:stretch>
                          <a:fillRect/>
                        </a:stretch>
                      </a:blipFill>
                      <a:spPr>
                        <a:xfrm>
                          <a:off x="1115616" y="1628800"/>
                          <a:ext cx="6456717" cy="4842538"/>
                        </a:xfrm>
                        <a:prstGeom prst="rect">
                          <a:avLst/>
                        </a:prstGeom>
                      </a:spPr>
                    </a:pic>
                    <a:sp>
                      <a:nvSpPr>
                        <a:cNvPr id="5" name="Rounded Rectangular Callout 4"/>
                        <a:cNvSpPr/>
                      </a:nvSpPr>
                      <a:spPr>
                        <a:xfrm>
                          <a:off x="395536" y="548680"/>
                          <a:ext cx="1800200" cy="936104"/>
                        </a:xfrm>
                        <a:prstGeom prst="wedgeRoundRectCallout">
                          <a:avLst>
                            <a:gd name="adj1" fmla="val 48164"/>
                            <a:gd name="adj2" fmla="val 77617"/>
                            <a:gd name="adj3" fmla="val 16667"/>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395536" y="548680"/>
                          <a:ext cx="1800200" cy="93871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GB" sz="1100" dirty="0" smtClean="0">
                                <a:effectLst>
                                  <a:outerShdw blurRad="38100" dist="38100" dir="2700000" algn="tl">
                                    <a:srgbClr val="000000">
                                      <a:alpha val="43137"/>
                                    </a:srgbClr>
                                  </a:outerShdw>
                                </a:effectLst>
                              </a:rPr>
                              <a:t>It is an opportunity to meet all the other organisations and share information.    Presentations are useful to raise awareness of topics</a:t>
                            </a:r>
                            <a:endParaRPr lang="en-GB" sz="1100" dirty="0">
                              <a:effectLst>
                                <a:outerShdw blurRad="38100" dist="38100" dir="2700000" algn="tl">
                                  <a:srgbClr val="000000">
                                    <a:alpha val="43137"/>
                                  </a:srgbClr>
                                </a:outerShdw>
                              </a:effectLst>
                            </a:endParaRPr>
                          </a:p>
                        </a:txBody>
                        <a:useSpRect/>
                      </a:txSp>
                    </a:sp>
                    <a:sp>
                      <a:nvSpPr>
                        <a:cNvPr id="7" name="Rounded Rectangular Callout 6"/>
                        <a:cNvSpPr/>
                      </a:nvSpPr>
                      <a:spPr>
                        <a:xfrm>
                          <a:off x="179512" y="1700808"/>
                          <a:ext cx="1728192" cy="1008112"/>
                        </a:xfrm>
                        <a:prstGeom prst="wedgeRoundRectCallout">
                          <a:avLst>
                            <a:gd name="adj1" fmla="val 34210"/>
                            <a:gd name="adj2" fmla="val 65380"/>
                            <a:gd name="adj3" fmla="val 16667"/>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251520" y="1700808"/>
                          <a:ext cx="1584176" cy="93871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GB" sz="1100" dirty="0" smtClean="0">
                                <a:effectLst>
                                  <a:outerShdw blurRad="38100" dist="38100" dir="2700000" algn="tl">
                                    <a:srgbClr val="000000">
                                      <a:alpha val="43137"/>
                                    </a:srgbClr>
                                  </a:outerShdw>
                                </a:effectLst>
                              </a:rPr>
                              <a:t>There are not many other fora that bring us together in the same way.  It helps to avoid us all working in isolation.</a:t>
                            </a:r>
                            <a:endParaRPr lang="en-GB" sz="1100" dirty="0">
                              <a:effectLst>
                                <a:outerShdw blurRad="38100" dist="38100" dir="2700000" algn="tl">
                                  <a:srgbClr val="000000">
                                    <a:alpha val="43137"/>
                                  </a:srgbClr>
                                </a:outerShdw>
                              </a:effectLst>
                            </a:endParaRPr>
                          </a:p>
                        </a:txBody>
                        <a:useSpRect/>
                      </a:txSp>
                    </a:sp>
                    <a:sp>
                      <a:nvSpPr>
                        <a:cNvPr id="9" name="Rounded Rectangular Callout 8"/>
                        <a:cNvSpPr/>
                      </a:nvSpPr>
                      <a:spPr>
                        <a:xfrm>
                          <a:off x="7524328" y="1844824"/>
                          <a:ext cx="1296144" cy="1152128"/>
                        </a:xfrm>
                        <a:prstGeom prst="wedgeRoundRectCallout">
                          <a:avLst>
                            <a:gd name="adj1" fmla="val -60340"/>
                            <a:gd name="adj2" fmla="val 43784"/>
                            <a:gd name="adj3" fmla="val 16667"/>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7524328" y="1844824"/>
                          <a:ext cx="1224136"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GB" sz="1100" dirty="0" smtClean="0">
                                <a:effectLst>
                                  <a:outerShdw blurRad="38100" dist="38100" dir="2700000" algn="tl">
                                    <a:srgbClr val="000000">
                                      <a:alpha val="43137"/>
                                    </a:srgbClr>
                                  </a:outerShdw>
                                </a:effectLst>
                              </a:rPr>
                              <a:t>We are starting to see tangible actions on the ground, projects that deliver. It is a big challenge.</a:t>
                            </a:r>
                            <a:endParaRPr lang="en-GB" sz="1100" dirty="0">
                              <a:effectLst>
                                <a:outerShdw blurRad="38100" dist="38100" dir="2700000" algn="tl">
                                  <a:srgbClr val="000000">
                                    <a:alpha val="43137"/>
                                  </a:srgbClr>
                                </a:outerShdw>
                              </a:effectLst>
                            </a:endParaRPr>
                          </a:p>
                        </a:txBody>
                        <a:useSpRect/>
                      </a:txSp>
                    </a:sp>
                    <a:sp>
                      <a:nvSpPr>
                        <a:cNvPr id="11" name="Rounded Rectangular Callout 10"/>
                        <a:cNvSpPr/>
                      </a:nvSpPr>
                      <a:spPr>
                        <a:xfrm>
                          <a:off x="4788024" y="188640"/>
                          <a:ext cx="1944216" cy="1152128"/>
                        </a:xfrm>
                        <a:prstGeom prst="wedgeRoundRectCallout">
                          <a:avLst>
                            <a:gd name="adj1" fmla="val -14861"/>
                            <a:gd name="adj2" fmla="val 94513"/>
                            <a:gd name="adj3" fmla="val 16667"/>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4788024" y="232772"/>
                          <a:ext cx="1944216"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GB" sz="1100" dirty="0" smtClean="0">
                                <a:effectLst>
                                  <a:outerShdw blurRad="38100" dist="38100" dir="2700000" algn="tl">
                                    <a:srgbClr val="000000">
                                      <a:alpha val="43137"/>
                                    </a:srgbClr>
                                  </a:outerShdw>
                                </a:effectLst>
                              </a:rPr>
                              <a:t>The partnership works on multiple benefits, not just water quality but also flooding, wildlife, agriculture, and the opportunity for joint  funding packages.</a:t>
                            </a:r>
                            <a:endParaRPr lang="en-GB" sz="1100" dirty="0">
                              <a:effectLst>
                                <a:outerShdw blurRad="38100" dist="38100" dir="2700000" algn="tl">
                                  <a:srgbClr val="000000">
                                    <a:alpha val="43137"/>
                                  </a:srgbClr>
                                </a:outerShdw>
                              </a:effectLst>
                            </a:endParaRPr>
                          </a:p>
                        </a:txBody>
                        <a:useSpRect/>
                      </a:txSp>
                    </a:sp>
                    <a:sp>
                      <a:nvSpPr>
                        <a:cNvPr id="13" name="Rounded Rectangular Callout 12"/>
                        <a:cNvSpPr/>
                      </a:nvSpPr>
                      <a:spPr>
                        <a:xfrm>
                          <a:off x="2483768" y="404664"/>
                          <a:ext cx="1944216" cy="1296144"/>
                        </a:xfrm>
                        <a:prstGeom prst="wedgeRoundRectCallout">
                          <a:avLst>
                            <a:gd name="adj1" fmla="val -8429"/>
                            <a:gd name="adj2" fmla="val 71570"/>
                            <a:gd name="adj3" fmla="val 16667"/>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2483768" y="404664"/>
                          <a:ext cx="1872208" cy="127727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GB" sz="1100" dirty="0" smtClean="0">
                                <a:effectLst>
                                  <a:outerShdw blurRad="38100" dist="38100" dir="2700000" algn="tl">
                                    <a:srgbClr val="000000">
                                      <a:alpha val="43137"/>
                                    </a:srgbClr>
                                  </a:outerShdw>
                                </a:effectLst>
                              </a:rPr>
                              <a:t>It opens the door to networking with other organisations, that I wouldn’t see outside of these meetings. The partnership creates opportunities to see the links.</a:t>
                            </a:r>
                            <a:endParaRPr lang="en-GB" sz="1100" dirty="0">
                              <a:effectLst>
                                <a:outerShdw blurRad="38100" dist="38100" dir="2700000" algn="tl">
                                  <a:srgbClr val="000000">
                                    <a:alpha val="43137"/>
                                  </a:srgbClr>
                                </a:outerShdw>
                              </a:effectLst>
                            </a:endParaRPr>
                          </a:p>
                        </a:txBody>
                        <a:useSpRect/>
                      </a:txSp>
                    </a:sp>
                    <a:sp>
                      <a:nvSpPr>
                        <a:cNvPr id="15" name="Rounded Rectangular Callout 14"/>
                        <a:cNvSpPr/>
                      </a:nvSpPr>
                      <a:spPr>
                        <a:xfrm>
                          <a:off x="6948264" y="404664"/>
                          <a:ext cx="1800200" cy="1080120"/>
                        </a:xfrm>
                        <a:prstGeom prst="wedgeRoundRectCallout">
                          <a:avLst>
                            <a:gd name="adj1" fmla="val -52188"/>
                            <a:gd name="adj2" fmla="val 93328"/>
                            <a:gd name="adj3" fmla="val 16667"/>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6948264" y="476672"/>
                          <a:ext cx="1800200" cy="93871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GB" sz="1100" dirty="0" smtClean="0">
                                <a:effectLst>
                                  <a:outerShdw blurRad="38100" dist="38100" dir="2700000" algn="tl">
                                    <a:srgbClr val="000000">
                                      <a:alpha val="43137"/>
                                    </a:srgbClr>
                                  </a:outerShdw>
                                </a:effectLst>
                              </a:rPr>
                              <a:t>Working in partnership can mean our business-as-usual, but directed in a way that aligns our operational work with the group’s focus</a:t>
                            </a:r>
                            <a:endParaRPr lang="en-GB" sz="1100" dirty="0">
                              <a:effectLst>
                                <a:outerShdw blurRad="38100" dist="38100" dir="2700000" algn="tl">
                                  <a:srgbClr val="000000">
                                    <a:alpha val="43137"/>
                                  </a:srgbClr>
                                </a:outerShdw>
                              </a:effectLst>
                            </a:endParaRPr>
                          </a:p>
                        </a:txBody>
                        <a:useSpRect/>
                      </a:txSp>
                    </a:sp>
                  </a:grpSp>
                </lc:lockedCanvas>
              </a:graphicData>
            </a:graphic>
          </wp:inline>
        </w:drawing>
      </w:r>
    </w:p>
    <w:p w:rsidR="00C1564A" w:rsidRDefault="00C1564A" w:rsidP="00C1564A">
      <w:pPr>
        <w:rPr>
          <w:sz w:val="24"/>
          <w:szCs w:val="24"/>
        </w:rPr>
      </w:pPr>
      <w:r>
        <w:rPr>
          <w:sz w:val="24"/>
          <w:szCs w:val="24"/>
        </w:rPr>
        <w:lastRenderedPageBreak/>
        <w:t xml:space="preserve">How would we know the Tyne Catchment Partnership wasn’t there?  Over time we wouldn’t talk to each other in the same way – contacts in each organisation change and the professional network would break down.  </w:t>
      </w:r>
    </w:p>
    <w:p w:rsidR="00C1564A" w:rsidRDefault="00C1564A" w:rsidP="00C1564A">
      <w:pPr>
        <w:rPr>
          <w:sz w:val="24"/>
          <w:szCs w:val="24"/>
        </w:rPr>
      </w:pPr>
      <w:r>
        <w:rPr>
          <w:sz w:val="24"/>
          <w:szCs w:val="24"/>
        </w:rPr>
        <w:t xml:space="preserve">Tony Baines gave an example of a partnership project at </w:t>
      </w:r>
      <w:proofErr w:type="spellStart"/>
      <w:r>
        <w:rPr>
          <w:sz w:val="24"/>
          <w:szCs w:val="24"/>
        </w:rPr>
        <w:t>Rowletch</w:t>
      </w:r>
      <w:proofErr w:type="spellEnd"/>
      <w:r>
        <w:rPr>
          <w:sz w:val="24"/>
          <w:szCs w:val="24"/>
        </w:rPr>
        <w:t xml:space="preserve"> Burn involving Northumbrian Water Group, the Environment Agency, Durham County Council and Gateshead Council.  Hugh Clear-Hill highlighted the recent Hexham Fish Pass at Hexham Bridge as partnership working.  </w:t>
      </w:r>
    </w:p>
    <w:p w:rsidR="00E303FA" w:rsidRDefault="00E303FA" w:rsidP="006E3A84">
      <w:pPr>
        <w:rPr>
          <w:sz w:val="24"/>
          <w:szCs w:val="24"/>
        </w:rPr>
      </w:pPr>
      <w:r>
        <w:rPr>
          <w:sz w:val="24"/>
          <w:szCs w:val="24"/>
        </w:rPr>
        <w:t xml:space="preserve">Moving on from the discussion about what is a ‘project’ and how to focus projects on data / evidence, Graeme Hull suggested that as a partnership we need a set of projects which are ready for funding opportunities, for example securing improvements through development planning.  A simple 2-page summary of each project would suffice, as a ‘pipeline’ of opportunities.  </w:t>
      </w:r>
    </w:p>
    <w:p w:rsidR="00C1564A" w:rsidRPr="00E303FA" w:rsidRDefault="00C1564A" w:rsidP="00C1564A">
      <w:pPr>
        <w:rPr>
          <w:sz w:val="24"/>
          <w:szCs w:val="24"/>
        </w:rPr>
      </w:pPr>
      <w:r>
        <w:rPr>
          <w:sz w:val="24"/>
          <w:szCs w:val="24"/>
        </w:rPr>
        <w:t>The Tyne already has a Plan – this was produced in 2012 (</w:t>
      </w:r>
      <w:hyperlink r:id="rId11" w:history="1">
        <w:r w:rsidR="008A6B2E" w:rsidRPr="00DB66CC">
          <w:rPr>
            <w:rStyle w:val="Hyperlink"/>
            <w:sz w:val="24"/>
            <w:szCs w:val="24"/>
          </w:rPr>
          <w:t>www.tynecatchment.org</w:t>
        </w:r>
      </w:hyperlink>
      <w:r>
        <w:rPr>
          <w:sz w:val="24"/>
          <w:szCs w:val="24"/>
        </w:rPr>
        <w:t>).  Since then we have also worked on ‘gap analysis’ – to see where there are issues on the ground without projects</w:t>
      </w:r>
      <w:r w:rsidR="00C56158">
        <w:rPr>
          <w:sz w:val="24"/>
          <w:szCs w:val="24"/>
        </w:rPr>
        <w:t xml:space="preserve"> (neither the Plan nor the gap analysis confines itself to WFD)</w:t>
      </w:r>
      <w:r>
        <w:rPr>
          <w:sz w:val="24"/>
          <w:szCs w:val="24"/>
        </w:rPr>
        <w:t xml:space="preserve">.  </w:t>
      </w:r>
      <w:r w:rsidR="00C56158">
        <w:rPr>
          <w:sz w:val="24"/>
          <w:szCs w:val="24"/>
        </w:rPr>
        <w:t xml:space="preserve">This was the focus of our December 2014 meeting, the outcome of which must have helped steer partners’ input into setting priority areas in early 2015 when the Environment Agency started work on the Medium Term Plan projects – partners were well-informed, worked well together.  </w:t>
      </w:r>
      <w:r>
        <w:rPr>
          <w:sz w:val="24"/>
          <w:szCs w:val="24"/>
        </w:rPr>
        <w:t>A summary</w:t>
      </w:r>
      <w:r w:rsidR="00CC560D">
        <w:rPr>
          <w:sz w:val="24"/>
          <w:szCs w:val="24"/>
        </w:rPr>
        <w:t xml:space="preserve"> </w:t>
      </w:r>
      <w:r>
        <w:rPr>
          <w:sz w:val="24"/>
          <w:szCs w:val="24"/>
        </w:rPr>
        <w:t>of this was circulated</w:t>
      </w:r>
      <w:r w:rsidR="002B4594">
        <w:rPr>
          <w:sz w:val="24"/>
          <w:szCs w:val="24"/>
        </w:rPr>
        <w:t xml:space="preserve"> and the full version is available to download (</w:t>
      </w:r>
      <w:hyperlink r:id="rId12" w:history="1">
        <w:r w:rsidR="001145EF" w:rsidRPr="00C442F4">
          <w:rPr>
            <w:rStyle w:val="Hyperlink"/>
            <w:sz w:val="24"/>
            <w:szCs w:val="24"/>
          </w:rPr>
          <w:t>www.tynecatchment.org/gap-analysis-2/</w:t>
        </w:r>
      </w:hyperlink>
      <w:r w:rsidR="002B4594">
        <w:rPr>
          <w:sz w:val="24"/>
          <w:szCs w:val="24"/>
        </w:rPr>
        <w:t>)</w:t>
      </w:r>
      <w:r>
        <w:rPr>
          <w:sz w:val="24"/>
          <w:szCs w:val="24"/>
        </w:rPr>
        <w:t xml:space="preserve">.  Perhaps we need to cost some of the projects from the Plan.  </w:t>
      </w:r>
    </w:p>
    <w:p w:rsidR="00E303FA" w:rsidRPr="00516CA6" w:rsidRDefault="00E303FA" w:rsidP="006E3A84">
      <w:pPr>
        <w:rPr>
          <w:b/>
          <w:sz w:val="24"/>
          <w:szCs w:val="24"/>
        </w:rPr>
      </w:pPr>
      <w:r>
        <w:rPr>
          <w:sz w:val="24"/>
          <w:szCs w:val="24"/>
        </w:rPr>
        <w:t>We also need a good idea of what resource is needed</w:t>
      </w:r>
      <w:r w:rsidR="00C1564A">
        <w:rPr>
          <w:sz w:val="24"/>
          <w:szCs w:val="24"/>
        </w:rPr>
        <w:t>, for the partnership to continue</w:t>
      </w:r>
      <w:r>
        <w:rPr>
          <w:sz w:val="24"/>
          <w:szCs w:val="24"/>
        </w:rPr>
        <w:t xml:space="preserve">.  </w:t>
      </w:r>
      <w:r w:rsidR="00516CA6">
        <w:rPr>
          <w:sz w:val="24"/>
          <w:szCs w:val="24"/>
        </w:rPr>
        <w:t xml:space="preserve">We need a business plan for the partnership – what funding is needed and for what tasks.  Clare Deasy from Northumbrian Water Group has offered to help with </w:t>
      </w:r>
      <w:r w:rsidR="00690F67">
        <w:rPr>
          <w:sz w:val="24"/>
          <w:szCs w:val="24"/>
        </w:rPr>
        <w:t xml:space="preserve">certain aspects of </w:t>
      </w:r>
      <w:r w:rsidR="00516CA6">
        <w:rPr>
          <w:sz w:val="24"/>
          <w:szCs w:val="24"/>
        </w:rPr>
        <w:t>this</w:t>
      </w:r>
      <w:r w:rsidR="00516CA6" w:rsidRPr="00ED01F8">
        <w:rPr>
          <w:sz w:val="24"/>
          <w:szCs w:val="24"/>
        </w:rPr>
        <w:t xml:space="preserve">.  </w:t>
      </w:r>
      <w:r w:rsidR="00690F67" w:rsidRPr="00ED01F8">
        <w:rPr>
          <w:sz w:val="24"/>
          <w:szCs w:val="24"/>
        </w:rPr>
        <w:t>(</w:t>
      </w:r>
      <w:r w:rsidR="00690F67" w:rsidRPr="00ED01F8">
        <w:rPr>
          <w:i/>
          <w:sz w:val="24"/>
          <w:szCs w:val="24"/>
        </w:rPr>
        <w:t xml:space="preserve">Post meeting note: Northumberland Rivers Trust have got </w:t>
      </w:r>
      <w:r w:rsidR="004935F8" w:rsidRPr="00ED01F8">
        <w:rPr>
          <w:i/>
          <w:sz w:val="24"/>
          <w:szCs w:val="24"/>
        </w:rPr>
        <w:t xml:space="preserve">a working draft of a business plan which they may be able to share, or some guidance might come in a co-ordinated way from The Rivers Trust).  </w:t>
      </w:r>
      <w:r w:rsidR="00516CA6" w:rsidRPr="00ED01F8">
        <w:rPr>
          <w:sz w:val="24"/>
          <w:szCs w:val="24"/>
        </w:rPr>
        <w:t>It was recommended</w:t>
      </w:r>
      <w:r w:rsidR="00516CA6">
        <w:rPr>
          <w:sz w:val="24"/>
          <w:szCs w:val="24"/>
        </w:rPr>
        <w:t xml:space="preserve"> that before the next meeting, the Tyne Rivers Trust and Environment Agency meet together with Clare to carry on with this idea.  </w:t>
      </w:r>
      <w:r w:rsidR="00516CA6">
        <w:rPr>
          <w:b/>
          <w:sz w:val="24"/>
          <w:szCs w:val="24"/>
        </w:rPr>
        <w:t>Action Abi – arrange the meeting with Susan, Abi, Graeme and Clare</w:t>
      </w:r>
    </w:p>
    <w:p w:rsidR="00C1564A" w:rsidRDefault="00C1564A" w:rsidP="006E3A84">
      <w:pPr>
        <w:rPr>
          <w:b/>
          <w:sz w:val="24"/>
          <w:szCs w:val="24"/>
        </w:rPr>
      </w:pPr>
      <w:r>
        <w:rPr>
          <w:sz w:val="24"/>
          <w:szCs w:val="24"/>
        </w:rPr>
        <w:t>The idea of a logo for the Tyne Catchment Partnership was received positively, if a good logo can be found.  This raises a separate topic of the visibility of the Partnership.  We need to better promote our work externally e.g. newsletters, internal, social media.  Taking the example of the Ouseburn project’s predecessor (</w:t>
      </w:r>
      <w:proofErr w:type="spellStart"/>
      <w:r>
        <w:rPr>
          <w:sz w:val="24"/>
          <w:szCs w:val="24"/>
        </w:rPr>
        <w:t>Moston</w:t>
      </w:r>
      <w:proofErr w:type="spellEnd"/>
      <w:r>
        <w:rPr>
          <w:sz w:val="24"/>
          <w:szCs w:val="24"/>
        </w:rPr>
        <w:t xml:space="preserve"> Brook), it was thought that a great deal of publicity coverage happened.  </w:t>
      </w:r>
      <w:r w:rsidR="00516CA6">
        <w:rPr>
          <w:sz w:val="24"/>
          <w:szCs w:val="24"/>
        </w:rPr>
        <w:t xml:space="preserve">A standing item on each agenda should be what publicity / media releases are we (jointly) going to release.  </w:t>
      </w:r>
      <w:r w:rsidR="00516CA6">
        <w:rPr>
          <w:b/>
          <w:sz w:val="24"/>
          <w:szCs w:val="24"/>
        </w:rPr>
        <w:t>Action Abi</w:t>
      </w:r>
    </w:p>
    <w:p w:rsidR="00516CA6" w:rsidRPr="00290D37" w:rsidRDefault="00C403B3" w:rsidP="006E3A84">
      <w:pPr>
        <w:rPr>
          <w:sz w:val="28"/>
          <w:szCs w:val="28"/>
        </w:rPr>
      </w:pPr>
      <w:r>
        <w:rPr>
          <w:sz w:val="24"/>
          <w:szCs w:val="24"/>
        </w:rPr>
        <w:t xml:space="preserve">The Tyne Catchment Partnership’s website </w:t>
      </w:r>
      <w:r w:rsidR="004935F8" w:rsidRPr="00290D37">
        <w:rPr>
          <w:sz w:val="28"/>
          <w:szCs w:val="28"/>
        </w:rPr>
        <w:t>(</w:t>
      </w:r>
      <w:hyperlink r:id="rId13" w:history="1">
        <w:r w:rsidR="004935F8" w:rsidRPr="00290D37">
          <w:rPr>
            <w:rStyle w:val="Hyperlink"/>
            <w:sz w:val="28"/>
            <w:szCs w:val="28"/>
          </w:rPr>
          <w:t>www.tynecatchment.org</w:t>
        </w:r>
      </w:hyperlink>
      <w:r w:rsidR="004935F8" w:rsidRPr="00290D37">
        <w:rPr>
          <w:sz w:val="28"/>
          <w:szCs w:val="28"/>
        </w:rPr>
        <w:t xml:space="preserve">) </w:t>
      </w:r>
      <w:r>
        <w:rPr>
          <w:sz w:val="24"/>
          <w:szCs w:val="24"/>
        </w:rPr>
        <w:t xml:space="preserve">has, this summer, been brought fully up to date to reflect our recent work.  It is now a useful place to find minutes of past meetings and </w:t>
      </w:r>
      <w:r w:rsidR="00CC560D">
        <w:rPr>
          <w:sz w:val="24"/>
          <w:szCs w:val="24"/>
        </w:rPr>
        <w:t>partnership</w:t>
      </w:r>
      <w:r>
        <w:rPr>
          <w:sz w:val="24"/>
          <w:szCs w:val="24"/>
        </w:rPr>
        <w:t xml:space="preserve"> resources.  </w:t>
      </w:r>
      <w:r w:rsidR="0041367F">
        <w:rPr>
          <w:sz w:val="24"/>
          <w:szCs w:val="24"/>
        </w:rPr>
        <w:t xml:space="preserve">It was agreed that all the Tyne Catchment Partnership partners can be added to the ‘partners’ page.  </w:t>
      </w:r>
      <w:r w:rsidR="0041367F">
        <w:rPr>
          <w:b/>
          <w:sz w:val="24"/>
          <w:szCs w:val="24"/>
        </w:rPr>
        <w:t xml:space="preserve">Action Abi. </w:t>
      </w:r>
      <w:r w:rsidR="0041367F">
        <w:rPr>
          <w:b/>
        </w:rPr>
        <w:t xml:space="preserve"> </w:t>
      </w:r>
      <w:r w:rsidRPr="004935F8">
        <w:rPr>
          <w:sz w:val="24"/>
          <w:szCs w:val="24"/>
          <w:u w:val="single"/>
        </w:rPr>
        <w:t xml:space="preserve">Feedback </w:t>
      </w:r>
      <w:r w:rsidR="009C60C7">
        <w:rPr>
          <w:sz w:val="24"/>
          <w:szCs w:val="24"/>
          <w:u w:val="single"/>
        </w:rPr>
        <w:t xml:space="preserve">on the website </w:t>
      </w:r>
      <w:r w:rsidRPr="004935F8">
        <w:rPr>
          <w:sz w:val="24"/>
          <w:szCs w:val="24"/>
          <w:u w:val="single"/>
        </w:rPr>
        <w:t>is welcome</w:t>
      </w:r>
      <w:r>
        <w:rPr>
          <w:sz w:val="24"/>
          <w:szCs w:val="24"/>
        </w:rPr>
        <w:t xml:space="preserve"> on the content, or suggested additional content item requests</w:t>
      </w:r>
      <w:r w:rsidR="004935F8">
        <w:rPr>
          <w:sz w:val="24"/>
          <w:szCs w:val="24"/>
        </w:rPr>
        <w:t xml:space="preserve"> (send feedback to </w:t>
      </w:r>
      <w:hyperlink r:id="rId14" w:history="1">
        <w:r w:rsidR="004935F8" w:rsidRPr="00D35440">
          <w:rPr>
            <w:rStyle w:val="Hyperlink"/>
            <w:sz w:val="24"/>
            <w:szCs w:val="24"/>
          </w:rPr>
          <w:t>tynecatchment@tyneriverstrust.org</w:t>
        </w:r>
      </w:hyperlink>
      <w:r w:rsidR="004935F8">
        <w:rPr>
          <w:sz w:val="24"/>
          <w:szCs w:val="24"/>
        </w:rPr>
        <w:t xml:space="preserve">) </w:t>
      </w:r>
    </w:p>
    <w:p w:rsidR="00C403B3" w:rsidRPr="00516CA6" w:rsidRDefault="00C403B3" w:rsidP="006E3A84">
      <w:pPr>
        <w:rPr>
          <w:b/>
          <w:sz w:val="24"/>
          <w:szCs w:val="24"/>
        </w:rPr>
      </w:pPr>
    </w:p>
    <w:p w:rsidR="00C1564A" w:rsidRDefault="00516CA6" w:rsidP="009C60C7">
      <w:pPr>
        <w:keepNext/>
        <w:rPr>
          <w:b/>
          <w:sz w:val="24"/>
          <w:szCs w:val="24"/>
        </w:rPr>
      </w:pPr>
      <w:r>
        <w:rPr>
          <w:b/>
          <w:sz w:val="24"/>
          <w:szCs w:val="24"/>
        </w:rPr>
        <w:lastRenderedPageBreak/>
        <w:t>6 News / updates</w:t>
      </w:r>
    </w:p>
    <w:p w:rsidR="008A6B2E" w:rsidRPr="008A6B2E" w:rsidRDefault="008A6B2E" w:rsidP="009C60C7">
      <w:pPr>
        <w:pStyle w:val="ListParagraph"/>
        <w:keepNext/>
        <w:numPr>
          <w:ilvl w:val="0"/>
          <w:numId w:val="3"/>
        </w:numPr>
        <w:ind w:left="714" w:hanging="357"/>
        <w:rPr>
          <w:sz w:val="24"/>
          <w:szCs w:val="24"/>
        </w:rPr>
      </w:pPr>
      <w:r>
        <w:rPr>
          <w:sz w:val="24"/>
          <w:szCs w:val="24"/>
        </w:rPr>
        <w:t xml:space="preserve">Coastal group – </w:t>
      </w:r>
      <w:r w:rsidRPr="008A6B2E">
        <w:rPr>
          <w:i/>
          <w:sz w:val="24"/>
          <w:szCs w:val="24"/>
        </w:rPr>
        <w:t xml:space="preserve">Post-meeting note: Susan Mackirdy attended the Coastal Group meeting on 18 September.  This group is organised by Northumberland Rivers Trust as a sub-group of the Northumberland Catchment Partnership, but includes the coastal section of the </w:t>
      </w:r>
      <w:r w:rsidR="002B4594">
        <w:rPr>
          <w:i/>
          <w:sz w:val="24"/>
          <w:szCs w:val="24"/>
        </w:rPr>
        <w:t xml:space="preserve">Tyne (from Whitburn / Marsden northwards – the Tyne’s coastal area is </w:t>
      </w:r>
      <w:r w:rsidRPr="008A6B2E">
        <w:rPr>
          <w:i/>
          <w:sz w:val="24"/>
          <w:szCs w:val="24"/>
        </w:rPr>
        <w:t>relatively small).  The group appears to be expanding its geographical remit to include tidal estuaries, which makes it more relevant to the Tyne Catchment Partnership, especially in light of the recent decision to exclude small tidal waterbodies from WFD monitoring and reporting.  Susan will follow up with John Hogger at NRT about the remit of the group because she sees some good opportunities here for sharing information and joint working, as well as managing the risks posed by less monitoring in the future</w:t>
      </w:r>
      <w:r w:rsidRPr="008A6B2E">
        <w:rPr>
          <w:sz w:val="24"/>
          <w:szCs w:val="24"/>
        </w:rPr>
        <w:t xml:space="preserve"> </w:t>
      </w:r>
      <w:r w:rsidRPr="008A6B2E">
        <w:rPr>
          <w:b/>
          <w:sz w:val="24"/>
          <w:szCs w:val="24"/>
        </w:rPr>
        <w:t>Action Susan Mackirdy</w:t>
      </w:r>
    </w:p>
    <w:p w:rsidR="00516CA6" w:rsidRDefault="00D9132F" w:rsidP="009C60C7">
      <w:pPr>
        <w:pStyle w:val="ListParagraph"/>
        <w:numPr>
          <w:ilvl w:val="0"/>
          <w:numId w:val="3"/>
        </w:numPr>
        <w:ind w:left="714" w:hanging="357"/>
        <w:rPr>
          <w:sz w:val="24"/>
          <w:szCs w:val="24"/>
        </w:rPr>
      </w:pPr>
      <w:r>
        <w:rPr>
          <w:sz w:val="24"/>
          <w:szCs w:val="24"/>
        </w:rPr>
        <w:t>Ouseburn – a two</w:t>
      </w:r>
      <w:r w:rsidR="00516CA6">
        <w:rPr>
          <w:sz w:val="24"/>
          <w:szCs w:val="24"/>
        </w:rPr>
        <w:t xml:space="preserve">-sided briefing note has been produced (thanks to help from Clare Deasy).  The aim of this is to circulate amongst senior managers in the respective </w:t>
      </w:r>
      <w:r w:rsidR="00CC560D">
        <w:rPr>
          <w:sz w:val="24"/>
          <w:szCs w:val="24"/>
        </w:rPr>
        <w:t>organisations</w:t>
      </w:r>
      <w:r w:rsidR="00516CA6">
        <w:rPr>
          <w:sz w:val="24"/>
          <w:szCs w:val="24"/>
        </w:rPr>
        <w:t xml:space="preserve"> to gain support for the identified actions.  Susan is meeting with Victor in Defra in early October</w:t>
      </w:r>
      <w:r w:rsidR="008A6B2E">
        <w:rPr>
          <w:sz w:val="24"/>
          <w:szCs w:val="24"/>
        </w:rPr>
        <w:t xml:space="preserve"> to discuss future support for the Evidence &amp; Measures approach and the potential to extend it to other similar, complex rivers</w:t>
      </w:r>
      <w:r w:rsidR="00516CA6">
        <w:rPr>
          <w:sz w:val="24"/>
          <w:szCs w:val="24"/>
        </w:rPr>
        <w:t xml:space="preserve">.  The briefing note template is hoped to be used by Northumbrian Water Group for other examples of partnership working.  </w:t>
      </w:r>
      <w:r w:rsidR="008A6B2E">
        <w:rPr>
          <w:sz w:val="24"/>
          <w:szCs w:val="24"/>
        </w:rPr>
        <w:t xml:space="preserve">A meeting is planned to look at delivery of the actions agreed at the measures workshop, though it has been hard to find a date that key representatives of all stakeholders can make.  </w:t>
      </w:r>
    </w:p>
    <w:p w:rsidR="00C153D4" w:rsidRDefault="007E1F27" w:rsidP="00980293">
      <w:pPr>
        <w:pStyle w:val="ListParagraph"/>
        <w:numPr>
          <w:ilvl w:val="0"/>
          <w:numId w:val="3"/>
        </w:numPr>
        <w:rPr>
          <w:sz w:val="24"/>
          <w:szCs w:val="24"/>
        </w:rPr>
      </w:pPr>
      <w:r w:rsidRPr="00C153D4">
        <w:rPr>
          <w:sz w:val="24"/>
          <w:szCs w:val="24"/>
        </w:rPr>
        <w:t xml:space="preserve">Medium </w:t>
      </w:r>
      <w:r w:rsidR="00632318">
        <w:rPr>
          <w:sz w:val="24"/>
          <w:szCs w:val="24"/>
        </w:rPr>
        <w:t xml:space="preserve">Term Plan and Living Waterways.  </w:t>
      </w:r>
      <w:r w:rsidR="00C153D4" w:rsidRPr="00C153D4">
        <w:rPr>
          <w:sz w:val="24"/>
          <w:szCs w:val="24"/>
        </w:rPr>
        <w:t>Work on the Medium Term Plan started in early 2015 with the identification of ‘priority places’.  Project proposals were submitted in May.  These are still being assessed as over</w:t>
      </w:r>
      <w:r w:rsidRPr="00C153D4">
        <w:rPr>
          <w:sz w:val="24"/>
          <w:szCs w:val="24"/>
        </w:rPr>
        <w:t xml:space="preserve"> £20million of proposals </w:t>
      </w:r>
      <w:r w:rsidR="00C153D4" w:rsidRPr="00C153D4">
        <w:rPr>
          <w:sz w:val="24"/>
          <w:szCs w:val="24"/>
        </w:rPr>
        <w:t>has to be</w:t>
      </w:r>
      <w:r w:rsidRPr="00C153D4">
        <w:rPr>
          <w:sz w:val="24"/>
          <w:szCs w:val="24"/>
        </w:rPr>
        <w:t xml:space="preserve"> honed down to </w:t>
      </w:r>
      <w:r w:rsidR="00C153D4" w:rsidRPr="00C153D4">
        <w:rPr>
          <w:sz w:val="24"/>
          <w:szCs w:val="24"/>
        </w:rPr>
        <w:t xml:space="preserve">a more realistic </w:t>
      </w:r>
      <w:r w:rsidRPr="00C153D4">
        <w:rPr>
          <w:sz w:val="24"/>
          <w:szCs w:val="24"/>
        </w:rPr>
        <w:t xml:space="preserve">£5million.  These will be submitted to Defra in November, and news may be heard back any time between March – May 2016.  </w:t>
      </w:r>
      <w:r w:rsidR="00C153D4" w:rsidRPr="00C153D4">
        <w:rPr>
          <w:sz w:val="24"/>
          <w:szCs w:val="24"/>
        </w:rPr>
        <w:t xml:space="preserve">The EA are hoping for a 6-year allocation from Defra which is similar to the way flood risk funding works.  Ideas can still be submitted, not just on waterbodies but also on lakes / loughs (if partners have ideas, speak to Graeme).  </w:t>
      </w:r>
      <w:r w:rsidR="00C153D4" w:rsidRPr="00C153D4">
        <w:rPr>
          <w:sz w:val="24"/>
          <w:szCs w:val="24"/>
        </w:rPr>
        <w:t xml:space="preserve">Projects that don’t go forwards in November stay in a ‘pipeline’ (see bullets below) </w:t>
      </w:r>
      <w:r w:rsidR="00C153D4" w:rsidRPr="00C153D4">
        <w:rPr>
          <w:sz w:val="24"/>
          <w:szCs w:val="24"/>
        </w:rPr>
        <w:t>with the reasons why / feedback, perhaps in some cases more evidence is needed</w:t>
      </w:r>
      <w:r w:rsidR="00C153D4" w:rsidRPr="00C153D4">
        <w:rPr>
          <w:sz w:val="24"/>
          <w:szCs w:val="24"/>
        </w:rPr>
        <w:t xml:space="preserve">.  In the Tyne this includes (a handout was circulated with coloured shading): </w:t>
      </w:r>
    </w:p>
    <w:p w:rsidR="002C198F" w:rsidRDefault="002C198F" w:rsidP="002C198F">
      <w:pPr>
        <w:pStyle w:val="ListParagraph"/>
        <w:numPr>
          <w:ilvl w:val="1"/>
          <w:numId w:val="3"/>
        </w:numPr>
        <w:rPr>
          <w:sz w:val="24"/>
          <w:szCs w:val="24"/>
        </w:rPr>
      </w:pPr>
      <w:r>
        <w:rPr>
          <w:sz w:val="24"/>
          <w:szCs w:val="24"/>
        </w:rPr>
        <w:t>The housing estate (</w:t>
      </w:r>
      <w:proofErr w:type="spellStart"/>
      <w:r>
        <w:rPr>
          <w:sz w:val="24"/>
          <w:szCs w:val="24"/>
        </w:rPr>
        <w:t>Fellgate</w:t>
      </w:r>
      <w:proofErr w:type="spellEnd"/>
      <w:r>
        <w:rPr>
          <w:sz w:val="24"/>
          <w:szCs w:val="24"/>
        </w:rPr>
        <w:t xml:space="preserve">) on the River Don has been wrongly constructed from the start (late 1960s) – this issue falls back to the original developers – this was a submission to the Medium Term Plan but the WFD evidence is not there to support it.  There are other estates that could be a problem on the River Don.  The Don is ‘Poor’ under WFD for macrophytes, due to unknown reasons, and poor flow.  A small contribution from WFD could be discussed as part of efforts to re-connect the estate, particularly if there were any plans for small-scale habitat creation as part of the solution. </w:t>
      </w:r>
    </w:p>
    <w:p w:rsidR="002C198F" w:rsidRDefault="002C198F" w:rsidP="002C198F">
      <w:pPr>
        <w:pStyle w:val="ListParagraph"/>
        <w:numPr>
          <w:ilvl w:val="1"/>
          <w:numId w:val="3"/>
        </w:numPr>
        <w:rPr>
          <w:sz w:val="24"/>
          <w:szCs w:val="24"/>
        </w:rPr>
      </w:pPr>
      <w:r>
        <w:rPr>
          <w:sz w:val="24"/>
          <w:szCs w:val="24"/>
        </w:rPr>
        <w:t xml:space="preserve">The Land of Oak and Iron woodland improvements – there is an existing contribution to this project from the EA for fish passage improvement.  Rural diffuse pollution is not currently recorded as a ‘reason for failure’ in this area.  The Derwent area has several waterbodies but only the Pont Burn fails for phosphate (due to continuous or intermittent sewage discharges and trade discharges).  The proposal for tree planting would not address these ‘reasons for failure’  </w:t>
      </w:r>
    </w:p>
    <w:p w:rsidR="002C198F" w:rsidRDefault="002C198F" w:rsidP="002C198F">
      <w:pPr>
        <w:pStyle w:val="ListParagraph"/>
        <w:numPr>
          <w:ilvl w:val="1"/>
          <w:numId w:val="3"/>
        </w:numPr>
        <w:rPr>
          <w:sz w:val="24"/>
          <w:szCs w:val="24"/>
        </w:rPr>
      </w:pPr>
      <w:r>
        <w:rPr>
          <w:sz w:val="24"/>
          <w:szCs w:val="24"/>
        </w:rPr>
        <w:t xml:space="preserve">Haltwhistle Burn – a catchment based approach.  The only failing element for WFD is fish.  The only significant barriers to fish left on the burn are natural barriers.  Because of this, the </w:t>
      </w:r>
      <w:r>
        <w:rPr>
          <w:sz w:val="24"/>
          <w:szCs w:val="24"/>
        </w:rPr>
        <w:lastRenderedPageBreak/>
        <w:t>WFD does not support further fish-related work.  For the loughs, orthophosphate is still being monitored.  Should new evidence come to light then a project could potentially go ahead on a ‘no deterioration’ basis</w:t>
      </w:r>
    </w:p>
    <w:p w:rsidR="002C198F" w:rsidRDefault="002C198F" w:rsidP="002C198F">
      <w:pPr>
        <w:pStyle w:val="ListParagraph"/>
        <w:numPr>
          <w:ilvl w:val="1"/>
          <w:numId w:val="3"/>
        </w:numPr>
        <w:rPr>
          <w:sz w:val="24"/>
          <w:szCs w:val="24"/>
        </w:rPr>
      </w:pPr>
      <w:proofErr w:type="spellStart"/>
      <w:r w:rsidRPr="00C153D4">
        <w:rPr>
          <w:sz w:val="24"/>
          <w:szCs w:val="24"/>
        </w:rPr>
        <w:t>Wallsend</w:t>
      </w:r>
      <w:proofErr w:type="spellEnd"/>
      <w:r w:rsidRPr="00C153D4">
        <w:rPr>
          <w:sz w:val="24"/>
          <w:szCs w:val="24"/>
        </w:rPr>
        <w:t xml:space="preserve"> Burn fish passage</w:t>
      </w:r>
      <w:r>
        <w:rPr>
          <w:sz w:val="24"/>
          <w:szCs w:val="24"/>
        </w:rPr>
        <w:t xml:space="preserve"> –</w:t>
      </w:r>
      <w:r>
        <w:rPr>
          <w:sz w:val="24"/>
          <w:szCs w:val="24"/>
        </w:rPr>
        <w:t xml:space="preserve">This </w:t>
      </w:r>
      <w:r w:rsidRPr="00763202">
        <w:rPr>
          <w:sz w:val="24"/>
          <w:szCs w:val="24"/>
        </w:rPr>
        <w:t xml:space="preserve">waterbody fails for invertebrates and macrophytes/phytobenthos combined (2015 classifications).  The suspected source is phosphate from urban diffuse and intermittent sewage discharges.  </w:t>
      </w:r>
      <w:r>
        <w:rPr>
          <w:sz w:val="24"/>
          <w:szCs w:val="24"/>
        </w:rPr>
        <w:t xml:space="preserve">Also, there is no fish monitoring on this burn, so by default no fish failure recorded – although local monitoring in 2014 revealed some evidence of poor fish levels / variety.  </w:t>
      </w:r>
      <w:proofErr w:type="spellStart"/>
      <w:r w:rsidRPr="00763202">
        <w:rPr>
          <w:sz w:val="24"/>
          <w:szCs w:val="24"/>
        </w:rPr>
        <w:t>Wallsend</w:t>
      </w:r>
      <w:proofErr w:type="spellEnd"/>
      <w:r w:rsidRPr="00763202">
        <w:rPr>
          <w:sz w:val="24"/>
          <w:szCs w:val="24"/>
        </w:rPr>
        <w:t xml:space="preserve"> Burn is also heavily modified due to urbanisation.  The potential mitigation measures include improving the in-channel morphological diversity; enhance ecology;</w:t>
      </w:r>
      <w:r>
        <w:rPr>
          <w:sz w:val="24"/>
          <w:szCs w:val="24"/>
        </w:rPr>
        <w:t xml:space="preserve"> remove or soften hard bank,</w:t>
      </w:r>
      <w:r w:rsidRPr="00763202">
        <w:rPr>
          <w:sz w:val="24"/>
          <w:szCs w:val="24"/>
        </w:rPr>
        <w:t xml:space="preserve"> preserve or restore habitats</w:t>
      </w:r>
      <w:r>
        <w:rPr>
          <w:sz w:val="24"/>
          <w:szCs w:val="24"/>
        </w:rPr>
        <w:t>, fish passes and removing obsolete structures</w:t>
      </w:r>
      <w:r w:rsidRPr="00763202">
        <w:rPr>
          <w:sz w:val="24"/>
          <w:szCs w:val="24"/>
        </w:rPr>
        <w:t>.  A proposal is under considerat</w:t>
      </w:r>
      <w:r>
        <w:rPr>
          <w:sz w:val="24"/>
          <w:szCs w:val="24"/>
        </w:rPr>
        <w:t>ion by the EA to fund a Living W</w:t>
      </w:r>
      <w:r w:rsidRPr="00763202">
        <w:rPr>
          <w:sz w:val="24"/>
          <w:szCs w:val="24"/>
        </w:rPr>
        <w:t>aterways feasibility study on this waterbody in 2015</w:t>
      </w:r>
      <w:r>
        <w:rPr>
          <w:sz w:val="24"/>
          <w:szCs w:val="24"/>
        </w:rPr>
        <w:t xml:space="preserve"> </w:t>
      </w:r>
      <w:r w:rsidRPr="00763202">
        <w:rPr>
          <w:sz w:val="24"/>
          <w:szCs w:val="24"/>
        </w:rPr>
        <w:t>/</w:t>
      </w:r>
      <w:r>
        <w:rPr>
          <w:sz w:val="24"/>
          <w:szCs w:val="24"/>
        </w:rPr>
        <w:t xml:space="preserve"> 20</w:t>
      </w:r>
      <w:r w:rsidRPr="00763202">
        <w:rPr>
          <w:sz w:val="24"/>
          <w:szCs w:val="24"/>
        </w:rPr>
        <w:t>16.</w:t>
      </w:r>
    </w:p>
    <w:p w:rsidR="002C198F" w:rsidRPr="002C198F" w:rsidRDefault="002C198F" w:rsidP="002C198F">
      <w:pPr>
        <w:pStyle w:val="ListParagraph"/>
        <w:numPr>
          <w:ilvl w:val="1"/>
          <w:numId w:val="3"/>
        </w:numPr>
        <w:rPr>
          <w:sz w:val="24"/>
          <w:szCs w:val="24"/>
        </w:rPr>
      </w:pPr>
      <w:r>
        <w:rPr>
          <w:sz w:val="24"/>
          <w:szCs w:val="24"/>
        </w:rPr>
        <w:t>SuDS in our community (on the Ouseburn)</w:t>
      </w:r>
    </w:p>
    <w:p w:rsidR="002C198F" w:rsidRPr="00C153D4" w:rsidRDefault="002C198F" w:rsidP="002C198F">
      <w:pPr>
        <w:pStyle w:val="ListParagraph"/>
        <w:numPr>
          <w:ilvl w:val="1"/>
          <w:numId w:val="3"/>
        </w:numPr>
        <w:rPr>
          <w:sz w:val="24"/>
          <w:szCs w:val="24"/>
        </w:rPr>
      </w:pPr>
      <w:r w:rsidRPr="00C153D4">
        <w:rPr>
          <w:sz w:val="24"/>
          <w:szCs w:val="24"/>
        </w:rPr>
        <w:t>Blaydon Burn investigation and monitoring</w:t>
      </w:r>
      <w:r>
        <w:rPr>
          <w:sz w:val="24"/>
          <w:szCs w:val="24"/>
        </w:rPr>
        <w:t>.</w:t>
      </w:r>
      <w:r w:rsidRPr="002C198F">
        <w:rPr>
          <w:sz w:val="24"/>
          <w:szCs w:val="24"/>
        </w:rPr>
        <w:t xml:space="preserve"> </w:t>
      </w:r>
      <w:r>
        <w:rPr>
          <w:sz w:val="24"/>
          <w:szCs w:val="24"/>
        </w:rPr>
        <w:t xml:space="preserve"> </w:t>
      </w:r>
      <w:r>
        <w:rPr>
          <w:sz w:val="24"/>
          <w:szCs w:val="24"/>
        </w:rPr>
        <w:t xml:space="preserve">This is a new waterbody under cycle 2.  </w:t>
      </w:r>
    </w:p>
    <w:p w:rsidR="002C198F" w:rsidRDefault="002C198F" w:rsidP="002C198F">
      <w:pPr>
        <w:pStyle w:val="ListParagraph"/>
        <w:numPr>
          <w:ilvl w:val="2"/>
          <w:numId w:val="3"/>
        </w:numPr>
        <w:rPr>
          <w:sz w:val="24"/>
          <w:szCs w:val="24"/>
        </w:rPr>
      </w:pPr>
      <w:r>
        <w:rPr>
          <w:sz w:val="24"/>
          <w:szCs w:val="24"/>
        </w:rPr>
        <w:t>It used to be part of ‘Derwent from Burnhope Burn to River Tyne’</w:t>
      </w:r>
      <w:r>
        <w:rPr>
          <w:rStyle w:val="FootnoteReference"/>
          <w:sz w:val="24"/>
          <w:szCs w:val="24"/>
        </w:rPr>
        <w:footnoteReference w:id="1"/>
      </w:r>
      <w:r>
        <w:rPr>
          <w:sz w:val="24"/>
          <w:szCs w:val="24"/>
        </w:rPr>
        <w:t xml:space="preserve">.  Blaydon Burn under cycle 2 has not been designated at heavily modified, so a mitigation measures assessment hasn’t been deemed relevant.  Also, the macrophytes in ‘Derwent from Burnhope Burn to River Tyne’ now pass the WFD, so none of the failing elements from cycle 1 classification have been applied to the new Blaydon Burn waterbody.  </w:t>
      </w:r>
    </w:p>
    <w:p w:rsidR="002C198F" w:rsidRDefault="002C198F" w:rsidP="002C198F">
      <w:pPr>
        <w:pStyle w:val="ListParagraph"/>
        <w:numPr>
          <w:ilvl w:val="2"/>
          <w:numId w:val="3"/>
        </w:numPr>
        <w:rPr>
          <w:sz w:val="24"/>
          <w:szCs w:val="24"/>
        </w:rPr>
      </w:pPr>
      <w:r>
        <w:rPr>
          <w:sz w:val="24"/>
          <w:szCs w:val="24"/>
        </w:rPr>
        <w:t>T</w:t>
      </w:r>
      <w:r w:rsidRPr="004E6A58">
        <w:rPr>
          <w:sz w:val="24"/>
          <w:szCs w:val="24"/>
        </w:rPr>
        <w:t xml:space="preserve">he Cycle 2 2014 and 2015 classifications of Blaydon Burn are 'Moderate' Ecological quality </w:t>
      </w:r>
      <w:r>
        <w:rPr>
          <w:sz w:val="24"/>
          <w:szCs w:val="24"/>
        </w:rPr>
        <w:t xml:space="preserve">- </w:t>
      </w:r>
      <w:r w:rsidRPr="004E6A58">
        <w:rPr>
          <w:sz w:val="24"/>
          <w:szCs w:val="24"/>
        </w:rPr>
        <w:t>as it fails for Ammonia (Poor - very certain).  Phosphate is recorded as High quality (as measured at monitoring point 'Barlow Burn at Blaydon Burn' NZ 16380 62200</w:t>
      </w:r>
      <w:r>
        <w:rPr>
          <w:sz w:val="24"/>
          <w:szCs w:val="24"/>
        </w:rPr>
        <w:t xml:space="preserve"> – map below</w:t>
      </w:r>
      <w:r w:rsidRPr="004E6A58">
        <w:rPr>
          <w:sz w:val="24"/>
          <w:szCs w:val="24"/>
        </w:rPr>
        <w:t xml:space="preserve">).  Reasons for this failure are suspected to be contaminated land associated with waste management and/or intermittent sewage discharges.  Invertebrate and macrophytes/phytobenthos monitoring (as measured at monitoring point 'Path Head' NZ 17437 63242) indicates Good quality so there is no evidence of an ecological response to the ammonia failure. No other WFD biological monitoring (e.g. fish) is carried out on this waterbody.  Blaydon Burn is </w:t>
      </w:r>
      <w:r w:rsidRPr="004E6A58">
        <w:rPr>
          <w:sz w:val="24"/>
          <w:szCs w:val="24"/>
          <w:u w:val="single"/>
        </w:rPr>
        <w:t>not currently designated as heavily modified</w:t>
      </w:r>
      <w:r w:rsidRPr="004E6A58">
        <w:rPr>
          <w:sz w:val="24"/>
          <w:szCs w:val="24"/>
        </w:rPr>
        <w:t>. If in the future this was reassessed then the removal of culverts could be a relevant mitigation measure.  At present third party data cannot be used to assess WFD classification</w:t>
      </w:r>
      <w:r>
        <w:rPr>
          <w:sz w:val="24"/>
          <w:szCs w:val="24"/>
        </w:rPr>
        <w:t>,</w:t>
      </w:r>
      <w:r w:rsidRPr="004E6A58">
        <w:rPr>
          <w:sz w:val="24"/>
          <w:szCs w:val="24"/>
        </w:rPr>
        <w:t xml:space="preserve"> but could be used to assess reasons for not achieving good status.</w:t>
      </w:r>
    </w:p>
    <w:p w:rsidR="002C198F" w:rsidRDefault="002C198F" w:rsidP="002C198F">
      <w:pPr>
        <w:pStyle w:val="ListParagraph"/>
        <w:numPr>
          <w:ilvl w:val="2"/>
          <w:numId w:val="3"/>
        </w:numPr>
        <w:rPr>
          <w:sz w:val="24"/>
          <w:szCs w:val="24"/>
        </w:rPr>
      </w:pPr>
      <w:r>
        <w:rPr>
          <w:sz w:val="24"/>
          <w:szCs w:val="24"/>
        </w:rPr>
        <w:t xml:space="preserve">By March 2016 the EA intend to programme an investigation (which could be any time </w:t>
      </w:r>
      <w:proofErr w:type="gramStart"/>
      <w:r>
        <w:rPr>
          <w:sz w:val="24"/>
          <w:szCs w:val="24"/>
        </w:rPr>
        <w:t>between 2016 – 2019</w:t>
      </w:r>
      <w:proofErr w:type="gramEnd"/>
      <w:r>
        <w:rPr>
          <w:sz w:val="24"/>
          <w:szCs w:val="24"/>
        </w:rPr>
        <w:t>) to confirm data on the Blaydon Burn.  Third party evidence would be welcome to inform both the prioritisation and the investigation (</w:t>
      </w:r>
      <w:r>
        <w:rPr>
          <w:i/>
          <w:sz w:val="24"/>
          <w:szCs w:val="24"/>
        </w:rPr>
        <w:t>more notes on this under agenda item ‘other partner news / updates’</w:t>
      </w:r>
      <w:r>
        <w:rPr>
          <w:sz w:val="24"/>
          <w:szCs w:val="24"/>
        </w:rPr>
        <w:t xml:space="preserve">).  Guidance on this will follow by December 2015.  Following that assessment, measures could be drawn up and costed studies carried out.  A project proposal to establish feasibility </w:t>
      </w:r>
      <w:r>
        <w:rPr>
          <w:sz w:val="24"/>
          <w:szCs w:val="24"/>
        </w:rPr>
        <w:lastRenderedPageBreak/>
        <w:t xml:space="preserve">and implement measures with community involvement could be submitted at that point.  </w:t>
      </w:r>
    </w:p>
    <w:p w:rsidR="002C198F" w:rsidRDefault="002C198F" w:rsidP="002C198F">
      <w:pPr>
        <w:rPr>
          <w:sz w:val="24"/>
          <w:szCs w:val="24"/>
        </w:rPr>
      </w:pPr>
    </w:p>
    <w:p w:rsidR="002C198F" w:rsidRDefault="002C198F" w:rsidP="002C198F">
      <w:pPr>
        <w:rPr>
          <w:sz w:val="24"/>
          <w:szCs w:val="24"/>
        </w:rPr>
      </w:pPr>
      <w:r>
        <w:rPr>
          <w:noProof/>
          <w:sz w:val="24"/>
          <w:szCs w:val="24"/>
          <w:lang w:eastAsia="en-GB"/>
        </w:rPr>
        <w:drawing>
          <wp:inline distT="0" distB="0" distL="0" distR="0" wp14:anchorId="3152C099" wp14:editId="4EB38446">
            <wp:extent cx="6645910" cy="469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itoring on Blaydon Burn.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4699635"/>
                    </a:xfrm>
                    <a:prstGeom prst="rect">
                      <a:avLst/>
                    </a:prstGeom>
                  </pic:spPr>
                </pic:pic>
              </a:graphicData>
            </a:graphic>
          </wp:inline>
        </w:drawing>
      </w:r>
    </w:p>
    <w:p w:rsidR="002C198F" w:rsidRPr="007C5B8C" w:rsidRDefault="002C198F" w:rsidP="002C198F">
      <w:pPr>
        <w:rPr>
          <w:sz w:val="24"/>
          <w:szCs w:val="24"/>
        </w:rPr>
      </w:pPr>
    </w:p>
    <w:p w:rsidR="007E1F27" w:rsidRDefault="007E1F27" w:rsidP="007E1F27">
      <w:pPr>
        <w:pStyle w:val="ListParagraph"/>
        <w:numPr>
          <w:ilvl w:val="0"/>
          <w:numId w:val="3"/>
        </w:numPr>
        <w:rPr>
          <w:sz w:val="24"/>
          <w:szCs w:val="24"/>
        </w:rPr>
      </w:pPr>
      <w:bookmarkStart w:id="0" w:name="_GoBack"/>
      <w:bookmarkEnd w:id="0"/>
      <w:r>
        <w:rPr>
          <w:sz w:val="24"/>
          <w:szCs w:val="24"/>
        </w:rPr>
        <w:t>Evidence and Learning Project – this was a Defra Grant in Aid project</w:t>
      </w:r>
      <w:r w:rsidR="00C153D4">
        <w:rPr>
          <w:sz w:val="24"/>
          <w:szCs w:val="24"/>
        </w:rPr>
        <w:t xml:space="preserve"> established in 2012 </w:t>
      </w:r>
      <w:r>
        <w:rPr>
          <w:sz w:val="24"/>
          <w:szCs w:val="24"/>
        </w:rPr>
        <w:t xml:space="preserve">to assess the </w:t>
      </w:r>
      <w:r w:rsidR="00CC560D">
        <w:rPr>
          <w:sz w:val="24"/>
          <w:szCs w:val="24"/>
        </w:rPr>
        <w:t>success</w:t>
      </w:r>
      <w:r>
        <w:rPr>
          <w:sz w:val="24"/>
          <w:szCs w:val="24"/>
        </w:rPr>
        <w:t xml:space="preserve"> of an intervention / a way of monitoring</w:t>
      </w:r>
      <w:r w:rsidR="00C153D4">
        <w:rPr>
          <w:sz w:val="24"/>
          <w:szCs w:val="24"/>
        </w:rPr>
        <w:t xml:space="preserve"> (to assess the success of WFD interventions)</w:t>
      </w:r>
      <w:r>
        <w:rPr>
          <w:sz w:val="24"/>
          <w:szCs w:val="24"/>
        </w:rPr>
        <w:t xml:space="preserve">.  In the past this was all used on a biology-type officer.  Now the project has been opened out, to partner ideas / suggestions for monitoring.  The Tyne Rivers Trust’s electrofishing proposal as a way of monitoring fish pass success was rejected because it wasn’t innovative – it is fairly well established that a fish pass intervention will result in an improved </w:t>
      </w:r>
      <w:r w:rsidR="00CC560D">
        <w:rPr>
          <w:sz w:val="24"/>
          <w:szCs w:val="24"/>
        </w:rPr>
        <w:t>situation</w:t>
      </w:r>
      <w:r>
        <w:rPr>
          <w:sz w:val="24"/>
          <w:szCs w:val="24"/>
        </w:rPr>
        <w:t xml:space="preserve"> for fish.  Ideas in the region that were funded included time lapse photography (e.g. of revegetation), riverfly work, water quality analysis.  </w:t>
      </w:r>
    </w:p>
    <w:p w:rsidR="00705DDE" w:rsidRDefault="007E1F27" w:rsidP="007E1F27">
      <w:pPr>
        <w:pStyle w:val="ListParagraph"/>
        <w:numPr>
          <w:ilvl w:val="0"/>
          <w:numId w:val="3"/>
        </w:numPr>
        <w:rPr>
          <w:sz w:val="24"/>
          <w:szCs w:val="24"/>
        </w:rPr>
      </w:pPr>
      <w:r>
        <w:rPr>
          <w:sz w:val="24"/>
          <w:szCs w:val="24"/>
        </w:rPr>
        <w:t>Catchment Partnership Action Fund –</w:t>
      </w:r>
      <w:r w:rsidR="00705DDE">
        <w:rPr>
          <w:sz w:val="24"/>
          <w:szCs w:val="24"/>
        </w:rPr>
        <w:t xml:space="preserve"> Improving City Streams</w:t>
      </w:r>
      <w:r w:rsidR="00C91618">
        <w:rPr>
          <w:sz w:val="24"/>
          <w:szCs w:val="24"/>
        </w:rPr>
        <w:t xml:space="preserve">.  </w:t>
      </w:r>
      <w:r w:rsidR="00705DDE">
        <w:rPr>
          <w:sz w:val="24"/>
          <w:szCs w:val="24"/>
        </w:rPr>
        <w:t xml:space="preserve">Awarded </w:t>
      </w:r>
      <w:r w:rsidR="001B30C9">
        <w:rPr>
          <w:sz w:val="24"/>
          <w:szCs w:val="24"/>
        </w:rPr>
        <w:t>£15k, 2 locations</w:t>
      </w:r>
      <w:r w:rsidR="00705DDE">
        <w:rPr>
          <w:sz w:val="24"/>
          <w:szCs w:val="24"/>
        </w:rPr>
        <w:t xml:space="preserve"> so as not to spread resources too thinly</w:t>
      </w:r>
      <w:r w:rsidR="001B30C9">
        <w:rPr>
          <w:sz w:val="24"/>
          <w:szCs w:val="24"/>
        </w:rPr>
        <w:t xml:space="preserve">.  </w:t>
      </w:r>
      <w:r w:rsidR="00705DDE">
        <w:rPr>
          <w:sz w:val="24"/>
          <w:szCs w:val="24"/>
        </w:rPr>
        <w:t xml:space="preserve">Wanted to do something a bit different so came up with the floating reedbed system.  This includes salt marsh plantings which is a BAP priority habitat for the county.  Northumbrian Wildlife Trust has met with Clare from Northumbrian Water Group and Clare from EA, and as a result the water quality samples can be tested before, during and after each installation, to help monitor the project.  Also all 3 organisations are working together on maps of outfalls so can target specific areas if possible misconnections are spotted.  A programme of events </w:t>
      </w:r>
      <w:r w:rsidR="00705DDE">
        <w:rPr>
          <w:sz w:val="24"/>
          <w:szCs w:val="24"/>
        </w:rPr>
        <w:lastRenderedPageBreak/>
        <w:t>will be developed over Sept-Oct 2015, to begin engagement with local communities until end March 2016.</w:t>
      </w:r>
    </w:p>
    <w:p w:rsidR="00705DDE" w:rsidRPr="00705DDE" w:rsidRDefault="00705DDE" w:rsidP="00705DDE">
      <w:pPr>
        <w:pStyle w:val="ListParagraph"/>
        <w:numPr>
          <w:ilvl w:val="1"/>
          <w:numId w:val="3"/>
        </w:numPr>
        <w:rPr>
          <w:sz w:val="24"/>
          <w:szCs w:val="24"/>
        </w:rPr>
      </w:pPr>
      <w:proofErr w:type="spellStart"/>
      <w:r w:rsidRPr="00705DDE">
        <w:rPr>
          <w:i/>
          <w:sz w:val="24"/>
          <w:szCs w:val="24"/>
        </w:rPr>
        <w:t>Lemington</w:t>
      </w:r>
      <w:proofErr w:type="spellEnd"/>
      <w:r w:rsidRPr="00705DDE">
        <w:rPr>
          <w:i/>
          <w:sz w:val="24"/>
          <w:szCs w:val="24"/>
        </w:rPr>
        <w:t xml:space="preserve"> Gut</w:t>
      </w:r>
      <w:r>
        <w:rPr>
          <w:sz w:val="24"/>
          <w:szCs w:val="24"/>
        </w:rPr>
        <w:t>: c</w:t>
      </w:r>
      <w:r w:rsidRPr="00705DDE">
        <w:rPr>
          <w:sz w:val="24"/>
          <w:szCs w:val="24"/>
        </w:rPr>
        <w:t>ontractors (</w:t>
      </w:r>
      <w:proofErr w:type="spellStart"/>
      <w:r w:rsidRPr="00705DDE">
        <w:rPr>
          <w:sz w:val="24"/>
          <w:szCs w:val="24"/>
        </w:rPr>
        <w:t>Biomatrix</w:t>
      </w:r>
      <w:proofErr w:type="spellEnd"/>
      <w:r w:rsidRPr="00705DDE">
        <w:rPr>
          <w:sz w:val="24"/>
          <w:szCs w:val="24"/>
        </w:rPr>
        <w:t xml:space="preserve">) met on site and have developed a floating island system design. </w:t>
      </w:r>
      <w:r>
        <w:rPr>
          <w:sz w:val="24"/>
          <w:szCs w:val="24"/>
        </w:rPr>
        <w:t xml:space="preserve"> </w:t>
      </w:r>
      <w:r w:rsidRPr="00705DDE">
        <w:rPr>
          <w:sz w:val="24"/>
          <w:szCs w:val="24"/>
        </w:rPr>
        <w:t xml:space="preserve">Local authority (flood management and ecologist) have been contacted to discuss the project before consent is applied for. </w:t>
      </w:r>
      <w:r>
        <w:rPr>
          <w:sz w:val="24"/>
          <w:szCs w:val="24"/>
        </w:rPr>
        <w:t xml:space="preserve"> </w:t>
      </w:r>
      <w:r w:rsidRPr="00705DDE">
        <w:rPr>
          <w:sz w:val="24"/>
          <w:szCs w:val="24"/>
        </w:rPr>
        <w:t xml:space="preserve">The response so far is positive, they do require a methodology to determine if NWT need to apply for consent. </w:t>
      </w:r>
    </w:p>
    <w:p w:rsidR="00705DDE" w:rsidRDefault="00705DDE" w:rsidP="00705DDE">
      <w:pPr>
        <w:pStyle w:val="ListParagraph"/>
        <w:numPr>
          <w:ilvl w:val="1"/>
          <w:numId w:val="3"/>
        </w:numPr>
        <w:rPr>
          <w:sz w:val="24"/>
          <w:szCs w:val="24"/>
        </w:rPr>
      </w:pPr>
      <w:proofErr w:type="spellStart"/>
      <w:r w:rsidRPr="00705DDE">
        <w:rPr>
          <w:i/>
          <w:sz w:val="24"/>
          <w:szCs w:val="24"/>
        </w:rPr>
        <w:t>Wallsend</w:t>
      </w:r>
      <w:proofErr w:type="spellEnd"/>
      <w:r w:rsidRPr="00705DDE">
        <w:rPr>
          <w:i/>
          <w:sz w:val="24"/>
          <w:szCs w:val="24"/>
        </w:rPr>
        <w:t xml:space="preserve"> Dene:</w:t>
      </w:r>
      <w:r w:rsidRPr="00705DDE">
        <w:rPr>
          <w:sz w:val="24"/>
          <w:szCs w:val="24"/>
        </w:rPr>
        <w:t xml:space="preserve"> </w:t>
      </w:r>
      <w:r>
        <w:rPr>
          <w:sz w:val="24"/>
          <w:szCs w:val="24"/>
        </w:rPr>
        <w:t>c</w:t>
      </w:r>
      <w:r w:rsidRPr="00705DDE">
        <w:rPr>
          <w:sz w:val="24"/>
          <w:szCs w:val="24"/>
        </w:rPr>
        <w:t xml:space="preserve">onsent has been received by local authority (North Tyneside, flood management and biodiversity officer) and contractor has met on site and developed floating river bank installation design. </w:t>
      </w:r>
      <w:r>
        <w:rPr>
          <w:sz w:val="24"/>
          <w:szCs w:val="24"/>
        </w:rPr>
        <w:t xml:space="preserve"> </w:t>
      </w:r>
      <w:r w:rsidRPr="00705DDE">
        <w:rPr>
          <w:sz w:val="24"/>
          <w:szCs w:val="24"/>
        </w:rPr>
        <w:t>Project officers need to contact Willington Gut boat launch to discuss access to the watercourse. Once this is agreed the project is ready to commence.</w:t>
      </w:r>
    </w:p>
    <w:p w:rsidR="00705DDE" w:rsidRPr="00705DDE" w:rsidRDefault="00705DDE" w:rsidP="00705DDE">
      <w:pPr>
        <w:pStyle w:val="ListParagraph"/>
        <w:numPr>
          <w:ilvl w:val="1"/>
          <w:numId w:val="3"/>
        </w:numPr>
        <w:rPr>
          <w:sz w:val="24"/>
          <w:szCs w:val="24"/>
        </w:rPr>
      </w:pPr>
      <w:r>
        <w:rPr>
          <w:sz w:val="24"/>
          <w:szCs w:val="24"/>
        </w:rPr>
        <w:t xml:space="preserve">Would like to do more – e.g. </w:t>
      </w:r>
      <w:proofErr w:type="spellStart"/>
      <w:r>
        <w:rPr>
          <w:sz w:val="24"/>
          <w:szCs w:val="24"/>
        </w:rPr>
        <w:t>Newburn</w:t>
      </w:r>
      <w:proofErr w:type="spellEnd"/>
      <w:r>
        <w:rPr>
          <w:sz w:val="24"/>
          <w:szCs w:val="24"/>
        </w:rPr>
        <w:t xml:space="preserve">, </w:t>
      </w:r>
      <w:proofErr w:type="spellStart"/>
      <w:r>
        <w:rPr>
          <w:sz w:val="24"/>
          <w:szCs w:val="24"/>
        </w:rPr>
        <w:t>Sugley</w:t>
      </w:r>
      <w:proofErr w:type="spellEnd"/>
      <w:r>
        <w:rPr>
          <w:sz w:val="24"/>
          <w:szCs w:val="24"/>
        </w:rPr>
        <w:t xml:space="preserve"> Dene</w:t>
      </w:r>
    </w:p>
    <w:p w:rsidR="008A6B2E" w:rsidRDefault="007E1F27" w:rsidP="008A6B2E">
      <w:pPr>
        <w:pStyle w:val="ListParagraph"/>
        <w:numPr>
          <w:ilvl w:val="0"/>
          <w:numId w:val="3"/>
        </w:numPr>
        <w:rPr>
          <w:sz w:val="24"/>
          <w:szCs w:val="24"/>
        </w:rPr>
      </w:pPr>
      <w:r>
        <w:rPr>
          <w:sz w:val="24"/>
          <w:szCs w:val="24"/>
        </w:rPr>
        <w:t>Tyne Rivers Trust projects (obstructions, diffuse metals, Haltwhistle Burn) –</w:t>
      </w:r>
    </w:p>
    <w:p w:rsidR="008A6B2E" w:rsidRDefault="008A6B2E" w:rsidP="008A6B2E">
      <w:pPr>
        <w:pStyle w:val="ListParagraph"/>
        <w:numPr>
          <w:ilvl w:val="1"/>
          <w:numId w:val="3"/>
        </w:numPr>
        <w:rPr>
          <w:sz w:val="24"/>
          <w:szCs w:val="24"/>
        </w:rPr>
      </w:pPr>
      <w:r w:rsidRPr="008A6B2E">
        <w:rPr>
          <w:sz w:val="24"/>
          <w:szCs w:val="24"/>
        </w:rPr>
        <w:t xml:space="preserve">TRT is tackling </w:t>
      </w:r>
      <w:r w:rsidR="00856463">
        <w:rPr>
          <w:sz w:val="24"/>
          <w:szCs w:val="24"/>
        </w:rPr>
        <w:t xml:space="preserve">nine </w:t>
      </w:r>
      <w:r w:rsidRPr="008A6B2E">
        <w:rPr>
          <w:sz w:val="24"/>
          <w:szCs w:val="24"/>
        </w:rPr>
        <w:t>small in-stream obstructions this year with funding from EA and the Marine Management Organisation (</w:t>
      </w:r>
      <w:r w:rsidR="00D9132F">
        <w:rPr>
          <w:sz w:val="24"/>
          <w:szCs w:val="24"/>
        </w:rPr>
        <w:t>see map below / overleaf</w:t>
      </w:r>
      <w:r w:rsidRPr="008A6B2E">
        <w:rPr>
          <w:sz w:val="24"/>
          <w:szCs w:val="24"/>
        </w:rPr>
        <w:t xml:space="preserve">).  Hexham Fish Pass is also being built through a partnership of Tyne Rivers Trust and Northumberland County Council.  This will mean a significant improvement for Sea trout and Salmon migrating upstream to spawn, and an eel pass is planned to be added in 2016.  </w:t>
      </w:r>
    </w:p>
    <w:p w:rsidR="008A6B2E" w:rsidRDefault="008A6B2E" w:rsidP="008A6B2E">
      <w:pPr>
        <w:pStyle w:val="ListParagraph"/>
        <w:numPr>
          <w:ilvl w:val="1"/>
          <w:numId w:val="3"/>
        </w:numPr>
        <w:rPr>
          <w:sz w:val="24"/>
          <w:szCs w:val="24"/>
        </w:rPr>
      </w:pPr>
      <w:r w:rsidRPr="008A6B2E">
        <w:rPr>
          <w:sz w:val="24"/>
          <w:szCs w:val="24"/>
        </w:rPr>
        <w:t xml:space="preserve">TRT and the N Pennines AONB Partnership are also tackling some of the worst sources of diffuse metal inputs (usually spoil heaps) in the South Tyne and Allen Valleys.  This year work is being delivered at </w:t>
      </w:r>
      <w:proofErr w:type="spellStart"/>
      <w:r w:rsidRPr="008A6B2E">
        <w:rPr>
          <w:sz w:val="24"/>
          <w:szCs w:val="24"/>
        </w:rPr>
        <w:t>Carrshield</w:t>
      </w:r>
      <w:proofErr w:type="spellEnd"/>
      <w:r w:rsidRPr="008A6B2E">
        <w:rPr>
          <w:sz w:val="24"/>
          <w:szCs w:val="24"/>
        </w:rPr>
        <w:t xml:space="preserve">, </w:t>
      </w:r>
      <w:proofErr w:type="spellStart"/>
      <w:r w:rsidRPr="008A6B2E">
        <w:rPr>
          <w:sz w:val="24"/>
          <w:szCs w:val="24"/>
        </w:rPr>
        <w:t>Coalcleugh</w:t>
      </w:r>
      <w:proofErr w:type="spellEnd"/>
      <w:r w:rsidRPr="008A6B2E">
        <w:rPr>
          <w:sz w:val="24"/>
          <w:szCs w:val="24"/>
        </w:rPr>
        <w:t xml:space="preserve"> and on the River </w:t>
      </w:r>
      <w:proofErr w:type="spellStart"/>
      <w:r w:rsidRPr="008A6B2E">
        <w:rPr>
          <w:sz w:val="24"/>
          <w:szCs w:val="24"/>
        </w:rPr>
        <w:t>Nent</w:t>
      </w:r>
      <w:proofErr w:type="spellEnd"/>
      <w:r w:rsidRPr="008A6B2E">
        <w:rPr>
          <w:sz w:val="24"/>
          <w:szCs w:val="24"/>
        </w:rPr>
        <w:t xml:space="preserve">, with funding secured by the Coal Authority and EA.  Proposals are in place for further (much-needed) work at other sites in subsequent years, but the funding for these are not yet confirmed. </w:t>
      </w:r>
    </w:p>
    <w:p w:rsidR="007E1F27" w:rsidRDefault="008A6B2E" w:rsidP="008A6B2E">
      <w:pPr>
        <w:pStyle w:val="ListParagraph"/>
        <w:numPr>
          <w:ilvl w:val="1"/>
          <w:numId w:val="3"/>
        </w:numPr>
        <w:rPr>
          <w:sz w:val="24"/>
          <w:szCs w:val="24"/>
        </w:rPr>
      </w:pPr>
      <w:r w:rsidRPr="008A6B2E">
        <w:rPr>
          <w:sz w:val="24"/>
          <w:szCs w:val="24"/>
        </w:rPr>
        <w:t xml:space="preserve">The Catchment Restoration Funded </w:t>
      </w:r>
      <w:r w:rsidRPr="008A6B2E">
        <w:rPr>
          <w:i/>
          <w:sz w:val="24"/>
          <w:szCs w:val="24"/>
        </w:rPr>
        <w:t xml:space="preserve">Haltwhistle Burn: A Total Catchment Approach </w:t>
      </w:r>
      <w:r w:rsidRPr="008A6B2E">
        <w:rPr>
          <w:sz w:val="24"/>
          <w:szCs w:val="24"/>
        </w:rPr>
        <w:t>project is coming to an end this month.  Interventions throughout the sub-catchment vary from</w:t>
      </w:r>
      <w:r>
        <w:rPr>
          <w:sz w:val="24"/>
          <w:szCs w:val="24"/>
        </w:rPr>
        <w:t>:</w:t>
      </w:r>
      <w:r w:rsidRPr="008A6B2E">
        <w:rPr>
          <w:sz w:val="24"/>
          <w:szCs w:val="24"/>
        </w:rPr>
        <w:t xml:space="preserve"> on-farm improvements to </w:t>
      </w:r>
      <w:r>
        <w:rPr>
          <w:sz w:val="24"/>
          <w:szCs w:val="24"/>
        </w:rPr>
        <w:t>reduce nutrient inputs to burns; tackling in-river obstructions;</w:t>
      </w:r>
      <w:r w:rsidRPr="008A6B2E">
        <w:rPr>
          <w:sz w:val="24"/>
          <w:szCs w:val="24"/>
        </w:rPr>
        <w:t xml:space="preserve"> in-stream structures to slow down river </w:t>
      </w:r>
      <w:r>
        <w:rPr>
          <w:sz w:val="24"/>
          <w:szCs w:val="24"/>
        </w:rPr>
        <w:t>flows</w:t>
      </w:r>
      <w:r w:rsidRPr="008A6B2E">
        <w:rPr>
          <w:sz w:val="24"/>
          <w:szCs w:val="24"/>
        </w:rPr>
        <w:t xml:space="preserve"> allow</w:t>
      </w:r>
      <w:r>
        <w:rPr>
          <w:sz w:val="24"/>
          <w:szCs w:val="24"/>
        </w:rPr>
        <w:t>ing</w:t>
      </w:r>
      <w:r w:rsidRPr="008A6B2E">
        <w:rPr>
          <w:sz w:val="24"/>
          <w:szCs w:val="24"/>
        </w:rPr>
        <w:t xml:space="preserve"> sediment to drop out (recently featured on BBC News)</w:t>
      </w:r>
      <w:r>
        <w:rPr>
          <w:sz w:val="24"/>
          <w:szCs w:val="24"/>
        </w:rPr>
        <w:t>;</w:t>
      </w:r>
      <w:r w:rsidRPr="008A6B2E">
        <w:rPr>
          <w:sz w:val="24"/>
          <w:szCs w:val="24"/>
        </w:rPr>
        <w:t xml:space="preserve"> and riverbank ‘green engineering’ work to reduce aggravated erosion to the burn.  Led by TRT, this was a true partnership project with many organisations coming on board to help deliver multiple interventions to improve the water quality of the burn</w:t>
      </w:r>
      <w:r>
        <w:rPr>
          <w:sz w:val="24"/>
          <w:szCs w:val="24"/>
        </w:rPr>
        <w:t>.</w:t>
      </w:r>
    </w:p>
    <w:p w:rsidR="00D9132F" w:rsidRDefault="00D9132F" w:rsidP="00D9132F">
      <w:pPr>
        <w:rPr>
          <w:sz w:val="24"/>
          <w:szCs w:val="24"/>
        </w:rPr>
      </w:pPr>
    </w:p>
    <w:p w:rsidR="00D9132F" w:rsidRDefault="002A2717" w:rsidP="00D9132F">
      <w:pPr>
        <w:rPr>
          <w:sz w:val="24"/>
          <w:szCs w:val="24"/>
        </w:rPr>
      </w:pPr>
      <w:r>
        <w:rPr>
          <w:noProof/>
          <w:sz w:val="24"/>
          <w:szCs w:val="24"/>
          <w:lang w:eastAsia="en-GB"/>
        </w:rPr>
        <w:lastRenderedPageBreak/>
        <w:drawing>
          <wp:inline distT="0" distB="0" distL="0" distR="0">
            <wp:extent cx="6645910" cy="4699635"/>
            <wp:effectExtent l="19050" t="1905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 in stream obstructions.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699635"/>
                    </a:xfrm>
                    <a:prstGeom prst="rect">
                      <a:avLst/>
                    </a:prstGeom>
                    <a:ln>
                      <a:solidFill>
                        <a:schemeClr val="accent1"/>
                      </a:solidFill>
                    </a:ln>
                  </pic:spPr>
                </pic:pic>
              </a:graphicData>
            </a:graphic>
          </wp:inline>
        </w:drawing>
      </w:r>
    </w:p>
    <w:p w:rsidR="00D9132F" w:rsidRPr="00D9132F" w:rsidRDefault="00D9132F" w:rsidP="00D9132F">
      <w:pPr>
        <w:rPr>
          <w:sz w:val="24"/>
          <w:szCs w:val="24"/>
        </w:rPr>
      </w:pPr>
    </w:p>
    <w:p w:rsidR="00C91618" w:rsidRDefault="00C91618" w:rsidP="007E1F27">
      <w:pPr>
        <w:pStyle w:val="ListParagraph"/>
        <w:numPr>
          <w:ilvl w:val="0"/>
          <w:numId w:val="3"/>
        </w:numPr>
        <w:rPr>
          <w:sz w:val="24"/>
          <w:szCs w:val="24"/>
        </w:rPr>
      </w:pPr>
      <w:r>
        <w:rPr>
          <w:sz w:val="24"/>
          <w:szCs w:val="24"/>
        </w:rPr>
        <w:t>Other partner updates / news items:</w:t>
      </w:r>
    </w:p>
    <w:p w:rsidR="00C91618" w:rsidRDefault="00C91618" w:rsidP="00C91618">
      <w:pPr>
        <w:pStyle w:val="ListParagraph"/>
        <w:numPr>
          <w:ilvl w:val="1"/>
          <w:numId w:val="3"/>
        </w:numPr>
        <w:rPr>
          <w:sz w:val="24"/>
          <w:szCs w:val="24"/>
        </w:rPr>
      </w:pPr>
      <w:r>
        <w:rPr>
          <w:sz w:val="24"/>
          <w:szCs w:val="24"/>
        </w:rPr>
        <w:t xml:space="preserve">Graeme outlined here the Environment Agency’s investigations programme.  There are tight rules and criteria about what can be collected and interpreted.  This is to ensure national consistency and are ultimately set by an EU level group.  If partners know a waterbody is classified wrongly under WFD, the EA need good information as evidence, which can inform their own investigations.  As part of moving to ‘cycle 2’ all the investigations schedule is being updated, so partner data / evidence would be most </w:t>
      </w:r>
      <w:r w:rsidR="00CC560D">
        <w:rPr>
          <w:sz w:val="24"/>
          <w:szCs w:val="24"/>
        </w:rPr>
        <w:t>useful</w:t>
      </w:r>
      <w:r>
        <w:rPr>
          <w:sz w:val="24"/>
          <w:szCs w:val="24"/>
        </w:rPr>
        <w:t xml:space="preserve"> </w:t>
      </w:r>
      <w:r>
        <w:rPr>
          <w:b/>
          <w:sz w:val="24"/>
          <w:szCs w:val="24"/>
        </w:rPr>
        <w:t>before February</w:t>
      </w:r>
      <w:r>
        <w:rPr>
          <w:sz w:val="24"/>
          <w:szCs w:val="24"/>
        </w:rPr>
        <w:t xml:space="preserve">.  </w:t>
      </w:r>
      <w:r w:rsidR="003E6F85">
        <w:rPr>
          <w:b/>
          <w:sz w:val="24"/>
          <w:szCs w:val="24"/>
        </w:rPr>
        <w:t xml:space="preserve">Action: all partners who feel they have evidence.  </w:t>
      </w:r>
      <w:r>
        <w:rPr>
          <w:sz w:val="24"/>
          <w:szCs w:val="24"/>
        </w:rPr>
        <w:t>Small tributaries aren’t routinely monitored so this is where partners may be able to help.  Note, partners need landowner permission or public access to do any data collecting, partners can’t say they are acting on the EA’s behalf.  Data may include biological elements (fish, fly, plants); chemical elements (analysis, readings); flow problems (no flow, photos); barriers (modifications, culverts, steps, photos); discharges or pollution (any water pollution or fly tipping</w:t>
      </w:r>
      <w:r>
        <w:rPr>
          <w:rStyle w:val="FootnoteReference"/>
          <w:sz w:val="24"/>
          <w:szCs w:val="24"/>
        </w:rPr>
        <w:footnoteReference w:id="2"/>
      </w:r>
      <w:r>
        <w:rPr>
          <w:sz w:val="24"/>
          <w:szCs w:val="24"/>
        </w:rPr>
        <w:t xml:space="preserve">); invasives (data on invasive species only prevents a waterbody from reaching ‘high’ status).  More information will be circulated about this soon </w:t>
      </w:r>
      <w:r>
        <w:rPr>
          <w:b/>
          <w:sz w:val="24"/>
          <w:szCs w:val="24"/>
        </w:rPr>
        <w:t>Action Graeme Hull</w:t>
      </w:r>
      <w:r>
        <w:rPr>
          <w:sz w:val="24"/>
          <w:szCs w:val="24"/>
        </w:rPr>
        <w:t xml:space="preserve"> as the EA are hoping to have a more inclusive approach in investigations than under cycle 1.  </w:t>
      </w:r>
    </w:p>
    <w:p w:rsidR="001B30C9" w:rsidRDefault="001B30C9" w:rsidP="00C91618">
      <w:pPr>
        <w:pStyle w:val="ListParagraph"/>
        <w:numPr>
          <w:ilvl w:val="1"/>
          <w:numId w:val="3"/>
        </w:numPr>
        <w:rPr>
          <w:sz w:val="24"/>
          <w:szCs w:val="24"/>
        </w:rPr>
      </w:pPr>
      <w:r>
        <w:rPr>
          <w:sz w:val="24"/>
          <w:szCs w:val="24"/>
        </w:rPr>
        <w:lastRenderedPageBreak/>
        <w:t xml:space="preserve">Hugh Clear-Hill mentioned the Hexham Fish Pass </w:t>
      </w:r>
      <w:r w:rsidR="008A6B2E">
        <w:rPr>
          <w:sz w:val="24"/>
          <w:szCs w:val="24"/>
        </w:rPr>
        <w:t>(see above)</w:t>
      </w:r>
      <w:r>
        <w:rPr>
          <w:sz w:val="24"/>
          <w:szCs w:val="24"/>
        </w:rPr>
        <w:t xml:space="preserve">.  An opening ceremony will happen later in the autumn. </w:t>
      </w:r>
    </w:p>
    <w:p w:rsidR="001B30C9" w:rsidRDefault="001B30C9" w:rsidP="001B30C9">
      <w:pPr>
        <w:pStyle w:val="ListParagraph"/>
        <w:numPr>
          <w:ilvl w:val="0"/>
          <w:numId w:val="3"/>
        </w:numPr>
        <w:rPr>
          <w:sz w:val="24"/>
          <w:szCs w:val="24"/>
        </w:rPr>
      </w:pPr>
      <w:r>
        <w:rPr>
          <w:sz w:val="24"/>
          <w:szCs w:val="24"/>
        </w:rPr>
        <w:t>Suggested topics for next meeting included:</w:t>
      </w:r>
    </w:p>
    <w:p w:rsidR="001B30C9" w:rsidRDefault="001B30C9" w:rsidP="001B30C9">
      <w:pPr>
        <w:pStyle w:val="ListParagraph"/>
        <w:numPr>
          <w:ilvl w:val="1"/>
          <w:numId w:val="3"/>
        </w:numPr>
        <w:rPr>
          <w:sz w:val="24"/>
          <w:szCs w:val="24"/>
        </w:rPr>
      </w:pPr>
      <w:r>
        <w:rPr>
          <w:sz w:val="24"/>
          <w:szCs w:val="24"/>
        </w:rPr>
        <w:t xml:space="preserve">Frances </w:t>
      </w:r>
      <w:proofErr w:type="spellStart"/>
      <w:r>
        <w:rPr>
          <w:sz w:val="24"/>
          <w:szCs w:val="24"/>
        </w:rPr>
        <w:t>Fewster</w:t>
      </w:r>
      <w:proofErr w:type="spellEnd"/>
      <w:r>
        <w:rPr>
          <w:sz w:val="24"/>
          <w:szCs w:val="24"/>
        </w:rPr>
        <w:t xml:space="preserve"> from Natural England has offered to give a presentation on the calaminarian grasslands, which would fit nicely with the presentation in March</w:t>
      </w:r>
      <w:r w:rsidR="008A6B2E">
        <w:rPr>
          <w:sz w:val="24"/>
          <w:szCs w:val="24"/>
        </w:rPr>
        <w:t xml:space="preserve"> 2015</w:t>
      </w:r>
      <w:r>
        <w:rPr>
          <w:sz w:val="24"/>
          <w:szCs w:val="24"/>
        </w:rPr>
        <w:t xml:space="preserve"> from Hugh Potter on the mines / minewaters topic</w:t>
      </w:r>
    </w:p>
    <w:p w:rsidR="001B30C9" w:rsidRDefault="001B30C9" w:rsidP="001B30C9">
      <w:pPr>
        <w:pStyle w:val="ListParagraph"/>
        <w:numPr>
          <w:ilvl w:val="1"/>
          <w:numId w:val="3"/>
        </w:numPr>
        <w:rPr>
          <w:sz w:val="24"/>
          <w:szCs w:val="24"/>
        </w:rPr>
      </w:pPr>
      <w:r>
        <w:rPr>
          <w:sz w:val="24"/>
          <w:szCs w:val="24"/>
        </w:rPr>
        <w:t>The Hexham Fish Pass</w:t>
      </w:r>
    </w:p>
    <w:p w:rsidR="001B30C9" w:rsidRDefault="001B30C9" w:rsidP="001B30C9">
      <w:pPr>
        <w:pStyle w:val="ListParagraph"/>
        <w:numPr>
          <w:ilvl w:val="1"/>
          <w:numId w:val="3"/>
        </w:numPr>
        <w:rPr>
          <w:sz w:val="24"/>
          <w:szCs w:val="24"/>
        </w:rPr>
      </w:pPr>
      <w:r>
        <w:rPr>
          <w:sz w:val="24"/>
          <w:szCs w:val="24"/>
        </w:rPr>
        <w:t>The Tyne Catchment Partnership Business Plan – some proposals could be ready</w:t>
      </w:r>
    </w:p>
    <w:p w:rsidR="001B30C9" w:rsidRDefault="001B30C9" w:rsidP="001B30C9">
      <w:pPr>
        <w:pStyle w:val="ListParagraph"/>
        <w:numPr>
          <w:ilvl w:val="0"/>
          <w:numId w:val="3"/>
        </w:numPr>
        <w:rPr>
          <w:sz w:val="24"/>
          <w:szCs w:val="24"/>
        </w:rPr>
      </w:pPr>
      <w:r>
        <w:rPr>
          <w:sz w:val="24"/>
          <w:szCs w:val="24"/>
        </w:rPr>
        <w:t>Suggested venues for next meeting included:</w:t>
      </w:r>
    </w:p>
    <w:p w:rsidR="001B30C9" w:rsidRDefault="001B30C9" w:rsidP="001B30C9">
      <w:pPr>
        <w:pStyle w:val="ListParagraph"/>
        <w:numPr>
          <w:ilvl w:val="1"/>
          <w:numId w:val="3"/>
        </w:numPr>
        <w:rPr>
          <w:sz w:val="24"/>
          <w:szCs w:val="24"/>
        </w:rPr>
      </w:pPr>
      <w:r>
        <w:rPr>
          <w:sz w:val="24"/>
          <w:szCs w:val="24"/>
        </w:rPr>
        <w:t>Environment Agency happy to host</w:t>
      </w:r>
    </w:p>
    <w:p w:rsidR="001B30C9" w:rsidRPr="001B30C9" w:rsidRDefault="001B30C9" w:rsidP="001B30C9">
      <w:pPr>
        <w:pStyle w:val="ListParagraph"/>
        <w:numPr>
          <w:ilvl w:val="1"/>
          <w:numId w:val="3"/>
        </w:numPr>
        <w:rPr>
          <w:sz w:val="24"/>
          <w:szCs w:val="24"/>
        </w:rPr>
      </w:pPr>
      <w:r>
        <w:rPr>
          <w:sz w:val="24"/>
          <w:szCs w:val="24"/>
        </w:rPr>
        <w:t>Northumbrian Water Group offered venues at Horsley or Whittle Dene or Hexham Treatment Works (this last idea would work well if we also included a visit to the Fish Pass site)</w:t>
      </w:r>
    </w:p>
    <w:p w:rsidR="007E1F27" w:rsidRDefault="007E1F27" w:rsidP="00C91618">
      <w:pPr>
        <w:rPr>
          <w:sz w:val="24"/>
          <w:szCs w:val="24"/>
        </w:rPr>
      </w:pPr>
    </w:p>
    <w:p w:rsidR="00C91618" w:rsidRDefault="00D21143" w:rsidP="00C91618">
      <w:pPr>
        <w:rPr>
          <w:b/>
          <w:sz w:val="24"/>
          <w:szCs w:val="24"/>
        </w:rPr>
      </w:pPr>
      <w:r>
        <w:rPr>
          <w:b/>
          <w:sz w:val="24"/>
          <w:szCs w:val="24"/>
        </w:rPr>
        <w:t>7 Blaydon Burn walkover</w:t>
      </w:r>
    </w:p>
    <w:p w:rsidR="008A6B2E" w:rsidRDefault="00D21143" w:rsidP="00C91618">
      <w:pPr>
        <w:rPr>
          <w:sz w:val="24"/>
          <w:szCs w:val="24"/>
        </w:rPr>
      </w:pPr>
      <w:r>
        <w:rPr>
          <w:sz w:val="24"/>
          <w:szCs w:val="24"/>
        </w:rPr>
        <w:t>Abi outlined some history of Blaydon Burn</w:t>
      </w:r>
      <w:r w:rsidR="008A6B2E">
        <w:rPr>
          <w:sz w:val="24"/>
          <w:szCs w:val="24"/>
        </w:rPr>
        <w:t xml:space="preserve"> (</w:t>
      </w:r>
      <w:r w:rsidR="009C60C7">
        <w:rPr>
          <w:sz w:val="24"/>
          <w:szCs w:val="24"/>
        </w:rPr>
        <w:t xml:space="preserve">see timeline </w:t>
      </w:r>
      <w:r w:rsidR="008A6B2E">
        <w:rPr>
          <w:sz w:val="24"/>
          <w:szCs w:val="24"/>
        </w:rPr>
        <w:t>below</w:t>
      </w:r>
      <w:r w:rsidR="009C60C7">
        <w:rPr>
          <w:sz w:val="24"/>
          <w:szCs w:val="24"/>
        </w:rPr>
        <w:t xml:space="preserve"> / overleaf</w:t>
      </w:r>
      <w:r w:rsidR="008A6B2E">
        <w:rPr>
          <w:sz w:val="24"/>
          <w:szCs w:val="24"/>
        </w:rPr>
        <w:t xml:space="preserve">).  </w:t>
      </w:r>
    </w:p>
    <w:p w:rsidR="00D21143" w:rsidRDefault="008A6B2E" w:rsidP="00C91618">
      <w:pPr>
        <w:rPr>
          <w:sz w:val="24"/>
          <w:szCs w:val="24"/>
        </w:rPr>
      </w:pPr>
      <w:r>
        <w:rPr>
          <w:sz w:val="24"/>
          <w:szCs w:val="24"/>
        </w:rPr>
        <w:t>Don Atk</w:t>
      </w:r>
      <w:r w:rsidR="003A3AC1">
        <w:rPr>
          <w:sz w:val="24"/>
          <w:szCs w:val="24"/>
        </w:rPr>
        <w:t>inson led us on the walkover.  6</w:t>
      </w:r>
      <w:r>
        <w:rPr>
          <w:sz w:val="24"/>
          <w:szCs w:val="24"/>
        </w:rPr>
        <w:t xml:space="preserve"> people attended the walk (Tony Baines</w:t>
      </w:r>
      <w:r w:rsidR="00C153D4">
        <w:rPr>
          <w:sz w:val="24"/>
          <w:szCs w:val="24"/>
        </w:rPr>
        <w:t xml:space="preserve"> (NWG)</w:t>
      </w:r>
      <w:r>
        <w:rPr>
          <w:sz w:val="24"/>
          <w:szCs w:val="24"/>
        </w:rPr>
        <w:t>, Emma Craig</w:t>
      </w:r>
      <w:r w:rsidR="00C153D4">
        <w:rPr>
          <w:sz w:val="24"/>
          <w:szCs w:val="24"/>
        </w:rPr>
        <w:t xml:space="preserve"> (NWT)</w:t>
      </w:r>
      <w:r>
        <w:rPr>
          <w:sz w:val="24"/>
          <w:szCs w:val="24"/>
        </w:rPr>
        <w:t>, Don Atkinson</w:t>
      </w:r>
      <w:r w:rsidR="00C153D4">
        <w:rPr>
          <w:sz w:val="24"/>
          <w:szCs w:val="24"/>
        </w:rPr>
        <w:t xml:space="preserve"> (Gateshead Council)</w:t>
      </w:r>
      <w:r>
        <w:rPr>
          <w:sz w:val="24"/>
          <w:szCs w:val="24"/>
        </w:rPr>
        <w:t>, Hugh Clear-Hill</w:t>
      </w:r>
      <w:r w:rsidR="00C153D4">
        <w:rPr>
          <w:sz w:val="24"/>
          <w:szCs w:val="24"/>
        </w:rPr>
        <w:t xml:space="preserve"> (Northumberland County Council)</w:t>
      </w:r>
      <w:r>
        <w:rPr>
          <w:sz w:val="24"/>
          <w:szCs w:val="24"/>
        </w:rPr>
        <w:t>, Michelle Hogg</w:t>
      </w:r>
      <w:r w:rsidR="00C153D4">
        <w:rPr>
          <w:sz w:val="24"/>
          <w:szCs w:val="24"/>
        </w:rPr>
        <w:t xml:space="preserve"> (South Tyneside Council &amp;</w:t>
      </w:r>
      <w:r w:rsidR="003A3AC1">
        <w:rPr>
          <w:sz w:val="24"/>
          <w:szCs w:val="24"/>
        </w:rPr>
        <w:t xml:space="preserve"> Abi Mansley</w:t>
      </w:r>
      <w:r w:rsidR="00C153D4">
        <w:rPr>
          <w:sz w:val="24"/>
          <w:szCs w:val="24"/>
        </w:rPr>
        <w:t xml:space="preserve"> (Tyne Rivers Trust)</w:t>
      </w:r>
      <w:r>
        <w:rPr>
          <w:sz w:val="24"/>
          <w:szCs w:val="24"/>
        </w:rPr>
        <w:t xml:space="preserve">).  On the ground we discussed issues such as littering / dumping, culverting, waterfalls, ‘friends of’ groups, historic ‘landfill’, flood attenuation potential, previous initiatives at this site, wetland habitat creation, mine water stream input and former anti-social behaviour.  </w:t>
      </w:r>
    </w:p>
    <w:p w:rsidR="00C810D2" w:rsidRPr="00D21143" w:rsidRDefault="00C810D2" w:rsidP="00C91618">
      <w:pPr>
        <w:rPr>
          <w:sz w:val="24"/>
          <w:szCs w:val="24"/>
        </w:rPr>
      </w:pPr>
      <w:r>
        <w:rPr>
          <w:sz w:val="24"/>
          <w:szCs w:val="24"/>
        </w:rPr>
        <w:t>Its designation as not heavily modified needs to be reviewed.  This would open up the types of mitigation measures</w:t>
      </w:r>
      <w:r w:rsidR="00D9132F">
        <w:rPr>
          <w:sz w:val="24"/>
          <w:szCs w:val="24"/>
        </w:rPr>
        <w:t xml:space="preserve"> being discussed</w:t>
      </w:r>
      <w:r>
        <w:rPr>
          <w:sz w:val="24"/>
          <w:szCs w:val="24"/>
        </w:rPr>
        <w:t xml:space="preserve"> e.g. </w:t>
      </w:r>
      <w:proofErr w:type="spellStart"/>
      <w:r>
        <w:rPr>
          <w:sz w:val="24"/>
          <w:szCs w:val="24"/>
        </w:rPr>
        <w:t>deculverting</w:t>
      </w:r>
      <w:proofErr w:type="spellEnd"/>
      <w:r>
        <w:rPr>
          <w:sz w:val="24"/>
          <w:szCs w:val="24"/>
        </w:rPr>
        <w:t xml:space="preserve">. </w:t>
      </w:r>
    </w:p>
    <w:p w:rsidR="00C91618" w:rsidRDefault="00290D37" w:rsidP="00DC5845">
      <w:pPr>
        <w:jc w:val="center"/>
        <w:rPr>
          <w:sz w:val="24"/>
          <w:szCs w:val="24"/>
        </w:rPr>
      </w:pPr>
      <w:r w:rsidRPr="00290D37">
        <w:rPr>
          <w:noProof/>
          <w:sz w:val="24"/>
          <w:szCs w:val="24"/>
          <w:lang w:eastAsia="en-GB"/>
        </w:rPr>
        <w:lastRenderedPageBreak/>
        <w:drawing>
          <wp:inline distT="0" distB="0" distL="0" distR="0" wp14:anchorId="681631BA" wp14:editId="367EA4D5">
            <wp:extent cx="3376558" cy="6155735"/>
            <wp:effectExtent l="1390650" t="0" r="13671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87246" cy="6175220"/>
                    </a:xfrm>
                    <a:prstGeom prst="rect">
                      <a:avLst/>
                    </a:prstGeom>
                    <a:noFill/>
                    <a:ln>
                      <a:noFill/>
                    </a:ln>
                  </pic:spPr>
                </pic:pic>
              </a:graphicData>
            </a:graphic>
          </wp:inline>
        </w:drawing>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745"/>
        <w:gridCol w:w="3937"/>
      </w:tblGrid>
      <w:tr w:rsidR="009C60C7" w:rsidTr="00DC5845">
        <w:tc>
          <w:tcPr>
            <w:tcW w:w="6745" w:type="dxa"/>
          </w:tcPr>
          <w:p w:rsidR="009C60C7" w:rsidRDefault="009C60C7" w:rsidP="009C60C7">
            <w:pPr>
              <w:keepNext/>
              <w:jc w:val="center"/>
              <w:rPr>
                <w:sz w:val="24"/>
                <w:szCs w:val="24"/>
              </w:rPr>
            </w:pPr>
            <w:r>
              <w:rPr>
                <w:b/>
                <w:noProof/>
                <w:sz w:val="24"/>
                <w:szCs w:val="24"/>
                <w:lang w:eastAsia="en-GB"/>
              </w:rPr>
              <w:drawing>
                <wp:inline distT="0" distB="0" distL="0" distR="0" wp14:anchorId="338FFAC7" wp14:editId="35946ABA">
                  <wp:extent cx="2768600" cy="2076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7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2188" cy="2079273"/>
                          </a:xfrm>
                          <a:prstGeom prst="rect">
                            <a:avLst/>
                          </a:prstGeom>
                        </pic:spPr>
                      </pic:pic>
                    </a:graphicData>
                  </a:graphic>
                </wp:inline>
              </w:drawing>
            </w:r>
          </w:p>
        </w:tc>
        <w:tc>
          <w:tcPr>
            <w:tcW w:w="3937" w:type="dxa"/>
          </w:tcPr>
          <w:p w:rsidR="009C60C7" w:rsidRDefault="009C60C7" w:rsidP="009C60C7">
            <w:pPr>
              <w:keepNext/>
              <w:jc w:val="center"/>
              <w:rPr>
                <w:b/>
                <w:noProof/>
                <w:sz w:val="24"/>
                <w:szCs w:val="24"/>
                <w:lang w:eastAsia="en-GB"/>
              </w:rPr>
            </w:pPr>
            <w:r>
              <w:rPr>
                <w:b/>
                <w:noProof/>
                <w:sz w:val="24"/>
                <w:szCs w:val="24"/>
                <w:lang w:eastAsia="en-GB"/>
              </w:rPr>
              <w:drawing>
                <wp:inline distT="0" distB="0" distL="0" distR="0" wp14:anchorId="32B9D8B8" wp14:editId="1EBBE4C3">
                  <wp:extent cx="1823201" cy="2430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7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3898" cy="2431709"/>
                          </a:xfrm>
                          <a:prstGeom prst="rect">
                            <a:avLst/>
                          </a:prstGeom>
                        </pic:spPr>
                      </pic:pic>
                    </a:graphicData>
                  </a:graphic>
                </wp:inline>
              </w:drawing>
            </w:r>
          </w:p>
        </w:tc>
      </w:tr>
      <w:tr w:rsidR="009C60C7" w:rsidTr="00DC5845">
        <w:tc>
          <w:tcPr>
            <w:tcW w:w="6745" w:type="dxa"/>
          </w:tcPr>
          <w:p w:rsidR="009C60C7" w:rsidRPr="009C60C7" w:rsidRDefault="009C60C7" w:rsidP="00DC5845">
            <w:pPr>
              <w:keepNext/>
              <w:jc w:val="center"/>
              <w:rPr>
                <w:noProof/>
                <w:sz w:val="24"/>
                <w:szCs w:val="24"/>
                <w:lang w:eastAsia="en-GB"/>
              </w:rPr>
            </w:pPr>
            <w:r>
              <w:rPr>
                <w:noProof/>
                <w:sz w:val="24"/>
                <w:szCs w:val="24"/>
                <w:lang w:eastAsia="en-GB"/>
              </w:rPr>
              <w:t>Tyne Catchment Partnership members at the mouth of the Blaydon Burn looking into the culvert entrance</w:t>
            </w:r>
          </w:p>
        </w:tc>
        <w:tc>
          <w:tcPr>
            <w:tcW w:w="3937" w:type="dxa"/>
          </w:tcPr>
          <w:p w:rsidR="009C60C7" w:rsidRPr="009C60C7" w:rsidRDefault="009C60C7" w:rsidP="00DC5845">
            <w:pPr>
              <w:keepNext/>
              <w:jc w:val="center"/>
              <w:rPr>
                <w:noProof/>
                <w:sz w:val="24"/>
                <w:szCs w:val="24"/>
                <w:lang w:eastAsia="en-GB"/>
              </w:rPr>
            </w:pPr>
            <w:r>
              <w:rPr>
                <w:noProof/>
                <w:sz w:val="24"/>
                <w:szCs w:val="24"/>
                <w:lang w:eastAsia="en-GB"/>
              </w:rPr>
              <w:t xml:space="preserve">Stream </w:t>
            </w:r>
            <w:r w:rsidR="00DC5845">
              <w:rPr>
                <w:noProof/>
                <w:sz w:val="24"/>
                <w:szCs w:val="24"/>
                <w:lang w:eastAsia="en-GB"/>
              </w:rPr>
              <w:t xml:space="preserve">joining the burn </w:t>
            </w:r>
            <w:r>
              <w:rPr>
                <w:noProof/>
                <w:sz w:val="24"/>
                <w:szCs w:val="24"/>
                <w:lang w:eastAsia="en-GB"/>
              </w:rPr>
              <w:t>at 417124 562904</w:t>
            </w:r>
          </w:p>
        </w:tc>
      </w:tr>
    </w:tbl>
    <w:p w:rsidR="00DC5845" w:rsidRPr="00C91618" w:rsidRDefault="00DC5845" w:rsidP="00C91618">
      <w:pPr>
        <w:rPr>
          <w:b/>
          <w:sz w:val="24"/>
          <w:szCs w:val="24"/>
        </w:rPr>
      </w:pPr>
    </w:p>
    <w:sectPr w:rsidR="00DC5845" w:rsidRPr="00C91618" w:rsidSect="00E303F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143" w:rsidRDefault="00D21143" w:rsidP="007D4028">
      <w:pPr>
        <w:spacing w:after="0" w:line="240" w:lineRule="auto"/>
      </w:pPr>
      <w:r>
        <w:separator/>
      </w:r>
    </w:p>
  </w:endnote>
  <w:endnote w:type="continuationSeparator" w:id="0">
    <w:p w:rsidR="00D21143" w:rsidRDefault="00D21143" w:rsidP="007D4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2739"/>
      <w:docPartObj>
        <w:docPartGallery w:val="Page Numbers (Bottom of Page)"/>
        <w:docPartUnique/>
      </w:docPartObj>
    </w:sdtPr>
    <w:sdtEndPr/>
    <w:sdtContent>
      <w:p w:rsidR="00D21143" w:rsidRDefault="00CC560D">
        <w:pPr>
          <w:pStyle w:val="Footer"/>
          <w:jc w:val="right"/>
        </w:pPr>
        <w:r>
          <w:fldChar w:fldCharType="begin"/>
        </w:r>
        <w:r>
          <w:instrText xml:space="preserve"> PAGE   \* MERGEFORMAT </w:instrText>
        </w:r>
        <w:r>
          <w:fldChar w:fldCharType="separate"/>
        </w:r>
        <w:r w:rsidR="002C198F">
          <w:rPr>
            <w:noProof/>
          </w:rPr>
          <w:t>12</w:t>
        </w:r>
        <w:r>
          <w:rPr>
            <w:noProof/>
          </w:rPr>
          <w:fldChar w:fldCharType="end"/>
        </w:r>
      </w:p>
    </w:sdtContent>
  </w:sdt>
  <w:p w:rsidR="00D21143" w:rsidRDefault="00D211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143" w:rsidRDefault="00D21143" w:rsidP="007D4028">
      <w:pPr>
        <w:spacing w:after="0" w:line="240" w:lineRule="auto"/>
      </w:pPr>
      <w:r>
        <w:separator/>
      </w:r>
    </w:p>
  </w:footnote>
  <w:footnote w:type="continuationSeparator" w:id="0">
    <w:p w:rsidR="00D21143" w:rsidRDefault="00D21143" w:rsidP="007D4028">
      <w:pPr>
        <w:spacing w:after="0" w:line="240" w:lineRule="auto"/>
      </w:pPr>
      <w:r>
        <w:continuationSeparator/>
      </w:r>
    </w:p>
  </w:footnote>
  <w:footnote w:id="1">
    <w:p w:rsidR="002C198F" w:rsidRDefault="002C198F" w:rsidP="002C198F">
      <w:pPr>
        <w:pStyle w:val="FootnoteText"/>
      </w:pPr>
      <w:r>
        <w:rPr>
          <w:rStyle w:val="FootnoteReference"/>
        </w:rPr>
        <w:footnoteRef/>
      </w:r>
      <w:r>
        <w:t xml:space="preserve"> </w:t>
      </w:r>
      <w:r>
        <w:rPr>
          <w:sz w:val="24"/>
          <w:szCs w:val="24"/>
        </w:rPr>
        <w:t xml:space="preserve">The cycle 1 (2014) assessment for that waterbody was ‘Moderate’ because a Mitigation Measures Assessment concluded that there were still actions that could be taken to improve the ecological potential of the heavily modified waterbody, and macrophytes were at Poor status.  All other biological and chemical elements were </w:t>
      </w:r>
      <w:proofErr w:type="gramStart"/>
      <w:r>
        <w:rPr>
          <w:sz w:val="24"/>
          <w:szCs w:val="24"/>
        </w:rPr>
        <w:t>Good</w:t>
      </w:r>
      <w:proofErr w:type="gramEnd"/>
      <w:r>
        <w:rPr>
          <w:sz w:val="24"/>
          <w:szCs w:val="24"/>
        </w:rPr>
        <w:t xml:space="preserve"> or High.  Using new macrophytes / phytobenthos combined assessment, it is now classified as Good.  </w:t>
      </w:r>
    </w:p>
  </w:footnote>
  <w:footnote w:id="2">
    <w:p w:rsidR="00D21143" w:rsidRDefault="00D21143">
      <w:pPr>
        <w:pStyle w:val="FootnoteText"/>
      </w:pPr>
      <w:r>
        <w:rPr>
          <w:rStyle w:val="FootnoteReference"/>
        </w:rPr>
        <w:footnoteRef/>
      </w:r>
      <w:r>
        <w:t xml:space="preserve"> </w:t>
      </w:r>
      <w:r w:rsidRPr="00C91618">
        <w:rPr>
          <w:sz w:val="22"/>
          <w:szCs w:val="22"/>
        </w:rPr>
        <w:t xml:space="preserve">Pollution incidents should be phoned in to the incident </w:t>
      </w:r>
      <w:r w:rsidR="00CC560D" w:rsidRPr="00C91618">
        <w:rPr>
          <w:sz w:val="22"/>
          <w:szCs w:val="22"/>
        </w:rPr>
        <w:t>line, it</w:t>
      </w:r>
      <w:r w:rsidRPr="00C91618">
        <w:rPr>
          <w:sz w:val="22"/>
          <w:szCs w:val="22"/>
        </w:rPr>
        <w:t xml:space="preserve"> helps to have a postcode nearby</w:t>
      </w:r>
      <w:r>
        <w:rPr>
          <w:sz w:val="22"/>
          <w:szCs w:val="22"/>
        </w:rPr>
        <w:t xml:space="preserve"> as well as time &amp; weather</w:t>
      </w:r>
      <w:r w:rsidRPr="00C91618">
        <w:rPr>
          <w:sz w:val="22"/>
          <w:szCs w:val="22"/>
        </w:rPr>
        <w:t>, this reporting can be done anonymously or as partners we can phone in on behalf of members of the public)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75364"/>
    <w:multiLevelType w:val="hybridMultilevel"/>
    <w:tmpl w:val="B61A7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764262"/>
    <w:multiLevelType w:val="hybridMultilevel"/>
    <w:tmpl w:val="BB36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476D28"/>
    <w:multiLevelType w:val="hybridMultilevel"/>
    <w:tmpl w:val="0F989DCE"/>
    <w:lvl w:ilvl="0" w:tplc="57B2D7DE">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72DE0CC2"/>
    <w:multiLevelType w:val="hybridMultilevel"/>
    <w:tmpl w:val="89F4F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4625"/>
    <w:rsid w:val="000D6F43"/>
    <w:rsid w:val="00100355"/>
    <w:rsid w:val="001145EF"/>
    <w:rsid w:val="0019518D"/>
    <w:rsid w:val="001B30C9"/>
    <w:rsid w:val="00290D37"/>
    <w:rsid w:val="002A2717"/>
    <w:rsid w:val="002B4594"/>
    <w:rsid w:val="002C198F"/>
    <w:rsid w:val="003A3AC1"/>
    <w:rsid w:val="003C0554"/>
    <w:rsid w:val="003E6F85"/>
    <w:rsid w:val="0041367F"/>
    <w:rsid w:val="00463C28"/>
    <w:rsid w:val="004935F8"/>
    <w:rsid w:val="004E6A58"/>
    <w:rsid w:val="00516CA6"/>
    <w:rsid w:val="00592274"/>
    <w:rsid w:val="00627BFB"/>
    <w:rsid w:val="00632318"/>
    <w:rsid w:val="00690F67"/>
    <w:rsid w:val="006E3A84"/>
    <w:rsid w:val="00705DDE"/>
    <w:rsid w:val="00763202"/>
    <w:rsid w:val="007C1B3C"/>
    <w:rsid w:val="007C5B8C"/>
    <w:rsid w:val="007D4028"/>
    <w:rsid w:val="007E1F27"/>
    <w:rsid w:val="0083489F"/>
    <w:rsid w:val="00856463"/>
    <w:rsid w:val="008A6B2E"/>
    <w:rsid w:val="009537CC"/>
    <w:rsid w:val="009C60C7"/>
    <w:rsid w:val="00A34625"/>
    <w:rsid w:val="00AF2B72"/>
    <w:rsid w:val="00BB4A70"/>
    <w:rsid w:val="00BE0025"/>
    <w:rsid w:val="00C153D4"/>
    <w:rsid w:val="00C1564A"/>
    <w:rsid w:val="00C403B3"/>
    <w:rsid w:val="00C56158"/>
    <w:rsid w:val="00C72630"/>
    <w:rsid w:val="00C810D2"/>
    <w:rsid w:val="00C91618"/>
    <w:rsid w:val="00CC560D"/>
    <w:rsid w:val="00D21143"/>
    <w:rsid w:val="00D3734C"/>
    <w:rsid w:val="00D9132F"/>
    <w:rsid w:val="00DC5845"/>
    <w:rsid w:val="00E303FA"/>
    <w:rsid w:val="00ED0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ABA2A-5152-425F-A446-4C3C4CC4F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F43"/>
    <w:pPr>
      <w:ind w:left="720"/>
      <w:contextualSpacing/>
    </w:pPr>
  </w:style>
  <w:style w:type="paragraph" w:styleId="Header">
    <w:name w:val="header"/>
    <w:basedOn w:val="Normal"/>
    <w:link w:val="HeaderChar"/>
    <w:uiPriority w:val="99"/>
    <w:semiHidden/>
    <w:unhideWhenUsed/>
    <w:rsid w:val="007D40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D4028"/>
  </w:style>
  <w:style w:type="paragraph" w:styleId="Footer">
    <w:name w:val="footer"/>
    <w:basedOn w:val="Normal"/>
    <w:link w:val="FooterChar"/>
    <w:uiPriority w:val="99"/>
    <w:unhideWhenUsed/>
    <w:rsid w:val="007D4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028"/>
  </w:style>
  <w:style w:type="paragraph" w:styleId="BalloonText">
    <w:name w:val="Balloon Text"/>
    <w:basedOn w:val="Normal"/>
    <w:link w:val="BalloonTextChar"/>
    <w:uiPriority w:val="99"/>
    <w:semiHidden/>
    <w:unhideWhenUsed/>
    <w:rsid w:val="00E30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3FA"/>
    <w:rPr>
      <w:rFonts w:ascii="Tahoma" w:hAnsi="Tahoma" w:cs="Tahoma"/>
      <w:sz w:val="16"/>
      <w:szCs w:val="16"/>
    </w:rPr>
  </w:style>
  <w:style w:type="paragraph" w:styleId="FootnoteText">
    <w:name w:val="footnote text"/>
    <w:basedOn w:val="Normal"/>
    <w:link w:val="FootnoteTextChar"/>
    <w:uiPriority w:val="99"/>
    <w:semiHidden/>
    <w:unhideWhenUsed/>
    <w:rsid w:val="00C916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1618"/>
    <w:rPr>
      <w:sz w:val="20"/>
      <w:szCs w:val="20"/>
    </w:rPr>
  </w:style>
  <w:style w:type="character" w:styleId="FootnoteReference">
    <w:name w:val="footnote reference"/>
    <w:basedOn w:val="DefaultParagraphFont"/>
    <w:uiPriority w:val="99"/>
    <w:semiHidden/>
    <w:unhideWhenUsed/>
    <w:rsid w:val="00C91618"/>
    <w:rPr>
      <w:vertAlign w:val="superscript"/>
    </w:rPr>
  </w:style>
  <w:style w:type="character" w:styleId="Hyperlink">
    <w:name w:val="Hyperlink"/>
    <w:basedOn w:val="DefaultParagraphFont"/>
    <w:uiPriority w:val="99"/>
    <w:unhideWhenUsed/>
    <w:rsid w:val="00290D37"/>
    <w:rPr>
      <w:color w:val="0000FF" w:themeColor="hyperlink"/>
      <w:u w:val="single"/>
    </w:rPr>
  </w:style>
  <w:style w:type="paragraph" w:styleId="PlainText">
    <w:name w:val="Plain Text"/>
    <w:basedOn w:val="Normal"/>
    <w:link w:val="PlainTextChar"/>
    <w:uiPriority w:val="99"/>
    <w:semiHidden/>
    <w:unhideWhenUsed/>
    <w:rsid w:val="004E6A5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E6A58"/>
    <w:rPr>
      <w:rFonts w:ascii="Calibri" w:hAnsi="Calibri" w:cs="Consolas"/>
      <w:szCs w:val="21"/>
    </w:rPr>
  </w:style>
  <w:style w:type="table" w:styleId="TableGrid">
    <w:name w:val="Table Grid"/>
    <w:basedOn w:val="TableNormal"/>
    <w:uiPriority w:val="59"/>
    <w:rsid w:val="009C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2198">
      <w:bodyDiv w:val="1"/>
      <w:marLeft w:val="0"/>
      <w:marRight w:val="0"/>
      <w:marTop w:val="0"/>
      <w:marBottom w:val="0"/>
      <w:divBdr>
        <w:top w:val="none" w:sz="0" w:space="0" w:color="auto"/>
        <w:left w:val="none" w:sz="0" w:space="0" w:color="auto"/>
        <w:bottom w:val="none" w:sz="0" w:space="0" w:color="auto"/>
        <w:right w:val="none" w:sz="0" w:space="0" w:color="auto"/>
      </w:divBdr>
    </w:div>
    <w:div w:id="398600401">
      <w:bodyDiv w:val="1"/>
      <w:marLeft w:val="0"/>
      <w:marRight w:val="0"/>
      <w:marTop w:val="0"/>
      <w:marBottom w:val="0"/>
      <w:divBdr>
        <w:top w:val="none" w:sz="0" w:space="0" w:color="auto"/>
        <w:left w:val="none" w:sz="0" w:space="0" w:color="auto"/>
        <w:bottom w:val="none" w:sz="0" w:space="0" w:color="auto"/>
        <w:right w:val="none" w:sz="0" w:space="0" w:color="auto"/>
      </w:divBdr>
    </w:div>
    <w:div w:id="180284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ynecatchment.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ynecatchment.org/gap-analysis-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necatchment.or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ynecatchment@tynerivers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1CB74-B88D-4101-B5C3-C43E00300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13</Pages>
  <Words>3948</Words>
  <Characters>22506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Mansley</dc:creator>
  <cp:lastModifiedBy>TyneCatchment</cp:lastModifiedBy>
  <cp:revision>27</cp:revision>
  <cp:lastPrinted>2015-09-25T09:55:00Z</cp:lastPrinted>
  <dcterms:created xsi:type="dcterms:W3CDTF">2015-09-19T18:16:00Z</dcterms:created>
  <dcterms:modified xsi:type="dcterms:W3CDTF">2015-09-28T11:24:00Z</dcterms:modified>
</cp:coreProperties>
</file>